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after="156" w:afterLines="50"/>
        <w:rPr>
          <w:rFonts w:ascii="黑体" w:hAnsi="黑体" w:eastAsia="黑体"/>
          <w:sz w:val="32"/>
          <w:szCs w:val="32"/>
          <w:lang w:eastAsia="zh-CN"/>
        </w:rPr>
      </w:pPr>
      <w:r>
        <w:rPr>
          <w:rFonts w:hint="eastAsia" w:ascii="黑体" w:hAnsi="黑体" w:eastAsia="黑体"/>
          <w:sz w:val="32"/>
          <w:szCs w:val="32"/>
          <w:lang w:eastAsia="zh-CN"/>
        </w:rPr>
        <w:t>附件</w:t>
      </w:r>
      <w:r>
        <w:rPr>
          <w:rFonts w:ascii="黑体" w:hAnsi="黑体" w:eastAsia="黑体"/>
          <w:sz w:val="32"/>
          <w:szCs w:val="32"/>
          <w:lang w:eastAsia="zh-CN"/>
        </w:rPr>
        <w:t>2</w:t>
      </w:r>
    </w:p>
    <w:p>
      <w:pPr>
        <w:pStyle w:val="7"/>
        <w:spacing w:line="560" w:lineRule="exact"/>
        <w:jc w:val="center"/>
        <w:rPr>
          <w:rFonts w:ascii="方正小标宋简体" w:hAnsi="黑体" w:eastAsia="方正小标宋简体"/>
          <w:sz w:val="44"/>
          <w:szCs w:val="44"/>
          <w:lang w:eastAsia="zh-CN"/>
        </w:rPr>
      </w:pPr>
      <w:r>
        <w:rPr>
          <w:rFonts w:hint="eastAsia" w:ascii="方正小标宋简体" w:hAnsi="黑体" w:eastAsia="方正小标宋简体"/>
          <w:sz w:val="44"/>
          <w:szCs w:val="44"/>
          <w:lang w:eastAsia="zh-CN"/>
        </w:rPr>
        <w:t>常州工程职业技术学院学生竞赛级别</w:t>
      </w:r>
    </w:p>
    <w:p>
      <w:pPr>
        <w:pStyle w:val="7"/>
        <w:spacing w:after="156" w:afterLines="50" w:line="560" w:lineRule="exact"/>
        <w:jc w:val="center"/>
        <w:rPr>
          <w:rFonts w:ascii="方正小标宋简体" w:hAnsi="黑体" w:eastAsia="方正小标宋简体"/>
          <w:sz w:val="44"/>
          <w:szCs w:val="44"/>
          <w:lang w:eastAsia="zh-CN"/>
        </w:rPr>
      </w:pPr>
      <w:r>
        <w:rPr>
          <w:rFonts w:hint="eastAsia" w:ascii="方正小标宋简体" w:hAnsi="黑体" w:eastAsia="方正小标宋简体"/>
          <w:sz w:val="44"/>
          <w:szCs w:val="44"/>
          <w:lang w:eastAsia="zh-CN"/>
        </w:rPr>
        <w:t>认定公示表（</w:t>
      </w:r>
      <w:r>
        <w:rPr>
          <w:rFonts w:ascii="方正小标宋简体" w:hAnsi="黑体" w:eastAsia="PMingLiU"/>
          <w:sz w:val="44"/>
          <w:szCs w:val="44"/>
        </w:rPr>
        <w:t xml:space="preserve">2024 </w:t>
      </w:r>
      <w:r>
        <w:rPr>
          <w:rFonts w:hint="eastAsia" w:ascii="方正小标宋简体" w:hAnsi="黑体" w:eastAsia="方正小标宋简体"/>
          <w:sz w:val="44"/>
          <w:szCs w:val="44"/>
          <w:lang w:eastAsia="zh-CN"/>
        </w:rPr>
        <w:t>年）</w:t>
      </w:r>
    </w:p>
    <w:tbl>
      <w:tblPr>
        <w:tblStyle w:val="4"/>
        <w:tblW w:w="9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4"/>
        <w:gridCol w:w="2075"/>
        <w:gridCol w:w="1609"/>
        <w:gridCol w:w="3412"/>
        <w:gridCol w:w="16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654" w:type="dxa"/>
            <w:shd w:val="clear" w:color="auto" w:fill="auto"/>
            <w:vAlign w:val="center"/>
          </w:tcPr>
          <w:p>
            <w:pPr>
              <w:widowControl/>
              <w:jc w:val="center"/>
              <w:rPr>
                <w:rFonts w:ascii="宋体" w:hAnsi="宋体" w:eastAsia="宋体" w:cs="宋体"/>
                <w:sz w:val="21"/>
                <w:szCs w:val="21"/>
                <w:lang w:eastAsia="zh-CN" w:bidi="ar-SA"/>
              </w:rPr>
            </w:pPr>
            <w:r>
              <w:rPr>
                <w:rFonts w:ascii="宋体" w:hAnsi="宋体" w:eastAsia="宋体" w:cs="宋体"/>
                <w:sz w:val="21"/>
                <w:szCs w:val="21"/>
                <w:lang w:eastAsia="zh-CN" w:bidi="ar-SA"/>
              </w:rPr>
              <w:t>序号</w:t>
            </w:r>
          </w:p>
        </w:tc>
        <w:tc>
          <w:tcPr>
            <w:tcW w:w="2075" w:type="dxa"/>
            <w:shd w:val="clear" w:color="auto" w:fill="auto"/>
            <w:vAlign w:val="center"/>
          </w:tcPr>
          <w:p>
            <w:pPr>
              <w:widowControl/>
              <w:jc w:val="center"/>
              <w:rPr>
                <w:rFonts w:ascii="宋体" w:hAnsi="宋体" w:eastAsia="宋体" w:cs="宋体"/>
                <w:sz w:val="21"/>
                <w:szCs w:val="21"/>
                <w:lang w:eastAsia="zh-CN" w:bidi="ar-SA"/>
              </w:rPr>
            </w:pPr>
            <w:r>
              <w:rPr>
                <w:rFonts w:ascii="宋体" w:hAnsi="宋体" w:eastAsia="宋体" w:cs="宋体"/>
                <w:sz w:val="21"/>
                <w:szCs w:val="21"/>
                <w:lang w:eastAsia="zh-CN" w:bidi="ar-SA"/>
              </w:rPr>
              <w:t>赛</w:t>
            </w:r>
            <w:r>
              <w:rPr>
                <w:rFonts w:hint="eastAsia" w:ascii="宋体" w:hAnsi="宋体" w:eastAsia="宋体" w:cs="宋体"/>
                <w:sz w:val="21"/>
                <w:szCs w:val="21"/>
                <w:lang w:eastAsia="zh-CN" w:bidi="ar-SA"/>
              </w:rPr>
              <w:t>事</w:t>
            </w:r>
            <w:r>
              <w:rPr>
                <w:rFonts w:ascii="宋体" w:hAnsi="宋体" w:eastAsia="宋体" w:cs="宋体"/>
                <w:sz w:val="21"/>
                <w:szCs w:val="21"/>
                <w:lang w:eastAsia="zh-CN" w:bidi="ar-SA"/>
              </w:rPr>
              <w:t>名称</w:t>
            </w:r>
          </w:p>
        </w:tc>
        <w:tc>
          <w:tcPr>
            <w:tcW w:w="1609" w:type="dxa"/>
            <w:shd w:val="clear" w:color="auto" w:fill="auto"/>
            <w:vAlign w:val="center"/>
          </w:tcPr>
          <w:p>
            <w:pPr>
              <w:widowControl/>
              <w:jc w:val="center"/>
              <w:rPr>
                <w:rFonts w:ascii="宋体" w:hAnsi="宋体" w:eastAsia="宋体" w:cs="宋体"/>
                <w:sz w:val="21"/>
                <w:szCs w:val="21"/>
                <w:lang w:eastAsia="zh-CN" w:bidi="ar-SA"/>
              </w:rPr>
            </w:pPr>
            <w:r>
              <w:rPr>
                <w:rFonts w:ascii="宋体" w:hAnsi="宋体" w:eastAsia="宋体" w:cs="宋体"/>
                <w:sz w:val="21"/>
                <w:szCs w:val="21"/>
                <w:lang w:eastAsia="zh-CN" w:bidi="ar-SA"/>
              </w:rPr>
              <w:t>主办单位</w:t>
            </w:r>
          </w:p>
        </w:tc>
        <w:tc>
          <w:tcPr>
            <w:tcW w:w="3412" w:type="dxa"/>
            <w:shd w:val="clear" w:color="auto" w:fill="auto"/>
            <w:vAlign w:val="center"/>
          </w:tcPr>
          <w:p>
            <w:pPr>
              <w:widowControl/>
              <w:jc w:val="center"/>
              <w:rPr>
                <w:rFonts w:ascii="宋体" w:hAnsi="宋体" w:eastAsia="宋体" w:cs="宋体"/>
                <w:sz w:val="21"/>
                <w:szCs w:val="21"/>
                <w:lang w:eastAsia="zh-CN" w:bidi="ar-SA"/>
              </w:rPr>
            </w:pPr>
            <w:r>
              <w:rPr>
                <w:rFonts w:hint="eastAsia" w:ascii="宋体" w:hAnsi="宋体" w:eastAsia="宋体" w:cs="宋体"/>
                <w:sz w:val="21"/>
                <w:szCs w:val="21"/>
                <w:lang w:eastAsia="zh-CN" w:bidi="ar-SA"/>
              </w:rPr>
              <w:t>赛事简介</w:t>
            </w:r>
          </w:p>
        </w:tc>
        <w:tc>
          <w:tcPr>
            <w:tcW w:w="1601" w:type="dxa"/>
            <w:shd w:val="clear" w:color="auto" w:fill="auto"/>
            <w:vAlign w:val="center"/>
          </w:tcPr>
          <w:p>
            <w:pPr>
              <w:widowControl/>
              <w:jc w:val="center"/>
              <w:rPr>
                <w:rFonts w:ascii="宋体" w:hAnsi="宋体" w:eastAsia="宋体" w:cs="宋体"/>
                <w:sz w:val="21"/>
                <w:szCs w:val="21"/>
                <w:lang w:eastAsia="zh-CN" w:bidi="ar-SA"/>
              </w:rPr>
            </w:pPr>
            <w:r>
              <w:rPr>
                <w:rFonts w:hint="eastAsia" w:ascii="宋体" w:hAnsi="宋体" w:eastAsia="宋体" w:cs="宋体"/>
                <w:sz w:val="21"/>
                <w:szCs w:val="21"/>
                <w:lang w:eastAsia="zh-CN" w:bidi="ar-SA"/>
              </w:rPr>
              <w:t>认定结果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654" w:type="dxa"/>
            <w:shd w:val="clear" w:color="auto" w:fill="auto"/>
            <w:vAlign w:val="center"/>
          </w:tcPr>
          <w:p>
            <w:pPr>
              <w:widowControl/>
              <w:jc w:val="center"/>
              <w:rPr>
                <w:rFonts w:ascii="宋体" w:hAnsi="宋体" w:eastAsia="宋体" w:cs="宋体"/>
                <w:sz w:val="21"/>
                <w:szCs w:val="21"/>
                <w:lang w:eastAsia="zh-CN" w:bidi="ar-SA"/>
              </w:rPr>
            </w:pPr>
            <w:r>
              <w:rPr>
                <w:rFonts w:ascii="宋体" w:hAnsi="宋体" w:eastAsia="宋体" w:cs="宋体"/>
                <w:sz w:val="21"/>
                <w:szCs w:val="21"/>
                <w:lang w:eastAsia="zh-CN" w:bidi="ar-SA"/>
              </w:rPr>
              <w:t>1</w:t>
            </w:r>
          </w:p>
        </w:tc>
        <w:tc>
          <w:tcPr>
            <w:tcW w:w="2075" w:type="dxa"/>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检验检疫技术赛项</w:t>
            </w:r>
          </w:p>
        </w:tc>
        <w:tc>
          <w:tcPr>
            <w:tcW w:w="1609" w:type="dxa"/>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江苏省教育厅</w:t>
            </w:r>
          </w:p>
        </w:tc>
        <w:tc>
          <w:tcPr>
            <w:tcW w:w="3412" w:type="dxa"/>
            <w:shd w:val="clear" w:color="auto" w:fill="auto"/>
            <w:vAlign w:val="center"/>
          </w:tcPr>
          <w:p>
            <w:pPr>
              <w:widowControl/>
              <w:rPr>
                <w:rFonts w:ascii="宋体" w:hAnsi="宋体" w:eastAsia="宋体" w:cs="宋体"/>
                <w:color w:val="000000"/>
                <w:kern w:val="0"/>
                <w:sz w:val="21"/>
                <w:szCs w:val="21"/>
                <w:lang w:val="en-US" w:eastAsia="zh-CN" w:bidi="ar-SA"/>
              </w:rPr>
            </w:pPr>
            <w:r>
              <w:rPr>
                <w:rFonts w:hint="eastAsia" w:ascii="宋体" w:hAnsi="宋体" w:eastAsia="宋体" w:cs="宋体"/>
                <w:i w:val="0"/>
                <w:iCs w:val="0"/>
                <w:caps w:val="0"/>
                <w:color w:val="333333"/>
                <w:spacing w:val="0"/>
                <w:sz w:val="21"/>
                <w:szCs w:val="21"/>
                <w:shd w:val="clear" w:fill="FFFFFF"/>
                <w:lang w:val="en-US" w:eastAsia="zh-CN"/>
              </w:rPr>
              <w:t>该赛项</w:t>
            </w:r>
            <w:r>
              <w:rPr>
                <w:rFonts w:hint="eastAsia" w:ascii="宋体" w:hAnsi="宋体" w:eastAsia="宋体" w:cs="宋体"/>
                <w:i w:val="0"/>
                <w:iCs w:val="0"/>
                <w:caps w:val="0"/>
                <w:color w:val="333333"/>
                <w:spacing w:val="0"/>
                <w:sz w:val="21"/>
                <w:szCs w:val="21"/>
                <w:shd w:val="clear" w:fill="FFFFFF"/>
              </w:rPr>
              <w:t>对接国赛标准和行业标准，重点考查选手对理论知识和核心技能的掌握及人际沟通、分析和解决问题的职业素养。赛项含理论知识、形态学、核心技能三个模块，旨在搭建各高职院校检验与检疫技术的教育成果与经验的交流平台，激发学生刻苦钻研的学习热情，强化专业技能，提高教学质量，培养知识、技能过硬和富有创新意识的卫检人才。</w:t>
            </w:r>
            <w:r>
              <w:rPr>
                <w:rFonts w:hint="eastAsia" w:ascii="宋体" w:hAnsi="宋体" w:eastAsia="宋体" w:cs="宋体"/>
                <w:i w:val="0"/>
                <w:iCs w:val="0"/>
                <w:caps w:val="0"/>
                <w:color w:val="000000"/>
                <w:spacing w:val="0"/>
                <w:sz w:val="21"/>
                <w:szCs w:val="21"/>
                <w:shd w:val="clear" w:fill="FFFFFF"/>
              </w:rPr>
              <w:t> </w:t>
            </w:r>
          </w:p>
        </w:tc>
        <w:tc>
          <w:tcPr>
            <w:tcW w:w="1601" w:type="dxa"/>
            <w:shd w:val="clear" w:color="auto" w:fill="auto"/>
            <w:vAlign w:val="center"/>
          </w:tcPr>
          <w:p>
            <w:pPr>
              <w:widowControl/>
              <w:jc w:val="center"/>
              <w:rPr>
                <w:rFonts w:hint="default" w:ascii="宋体" w:hAnsi="宋体" w:eastAsia="宋体" w:cs="宋体"/>
                <w:color w:val="000000"/>
                <w:kern w:val="0"/>
                <w:sz w:val="21"/>
                <w:szCs w:val="21"/>
                <w:lang w:val="en-US" w:eastAsia="zh-CN" w:bidi="ar-SA"/>
              </w:rPr>
            </w:pPr>
            <w:r>
              <w:rPr>
                <w:rFonts w:hint="eastAsia" w:ascii="宋体" w:hAnsi="宋体" w:eastAsia="宋体" w:cs="宋体"/>
                <w:sz w:val="21"/>
                <w:szCs w:val="21"/>
                <w:lang w:val="en-US" w:eastAsia="zh-CN" w:bidi="ar-SA"/>
              </w:rPr>
              <w:t>Ⅱ级甲等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654" w:type="dxa"/>
            <w:shd w:val="clear" w:color="auto" w:fill="auto"/>
            <w:vAlign w:val="center"/>
          </w:tcPr>
          <w:p>
            <w:pPr>
              <w:widowControl/>
              <w:jc w:val="center"/>
              <w:rPr>
                <w:rFonts w:ascii="宋体" w:hAnsi="宋体" w:eastAsia="宋体" w:cs="宋体"/>
                <w:sz w:val="21"/>
                <w:szCs w:val="21"/>
                <w:lang w:eastAsia="zh-CN" w:bidi="ar-SA"/>
              </w:rPr>
            </w:pPr>
            <w:r>
              <w:rPr>
                <w:rFonts w:hint="eastAsia" w:ascii="宋体" w:hAnsi="宋体" w:eastAsia="宋体" w:cs="宋体"/>
                <w:sz w:val="21"/>
                <w:szCs w:val="21"/>
                <w:lang w:eastAsia="zh-CN" w:bidi="ar-SA"/>
              </w:rPr>
              <w:t>2</w:t>
            </w:r>
          </w:p>
        </w:tc>
        <w:tc>
          <w:tcPr>
            <w:tcW w:w="2075" w:type="dxa"/>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环境监测与检测赛项</w:t>
            </w:r>
          </w:p>
        </w:tc>
        <w:tc>
          <w:tcPr>
            <w:tcW w:w="1609" w:type="dxa"/>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江苏省教育厅</w:t>
            </w:r>
          </w:p>
        </w:tc>
        <w:tc>
          <w:tcPr>
            <w:tcW w:w="3412" w:type="dxa"/>
            <w:shd w:val="clear" w:color="auto" w:fill="auto"/>
            <w:vAlign w:val="center"/>
          </w:tcPr>
          <w:p>
            <w:pPr>
              <w:widowControl/>
              <w:rPr>
                <w:rFonts w:ascii="宋体" w:hAnsi="宋体" w:eastAsia="宋体" w:cs="宋体"/>
                <w:color w:val="000000"/>
                <w:kern w:val="0"/>
                <w:sz w:val="21"/>
                <w:szCs w:val="21"/>
                <w:lang w:val="en-US" w:eastAsia="zh-CN" w:bidi="ar-SA"/>
              </w:rPr>
            </w:pPr>
            <w:r>
              <w:rPr>
                <w:rFonts w:hint="eastAsia" w:ascii="宋体" w:hAnsi="宋体" w:eastAsia="宋体" w:cs="宋体"/>
                <w:sz w:val="21"/>
                <w:szCs w:val="21"/>
                <w:lang w:eastAsia="zh-CN" w:bidi="ar-SA"/>
              </w:rPr>
              <w:t>赛项竞赛内容包括水处理工艺、大气环境监测与治理技术及混凝试验与泵站运维三个模块，以团体赛方式进行，选手需在</w:t>
            </w:r>
            <w:r>
              <w:rPr>
                <w:rFonts w:hint="eastAsia" w:ascii="宋体" w:hAnsi="宋体" w:eastAsia="宋体" w:cs="宋体"/>
                <w:sz w:val="21"/>
                <w:szCs w:val="21"/>
                <w:lang w:val="en-US" w:eastAsia="zh-CN" w:bidi="ar-SA"/>
              </w:rPr>
              <w:t>规定的时间内</w:t>
            </w:r>
            <w:r>
              <w:rPr>
                <w:rFonts w:hint="eastAsia" w:ascii="宋体" w:hAnsi="宋体" w:eastAsia="宋体" w:cs="宋体"/>
                <w:sz w:val="21"/>
                <w:szCs w:val="21"/>
                <w:lang w:eastAsia="zh-CN" w:bidi="ar-SA"/>
              </w:rPr>
              <w:t>，根据任务书要求完成水、大气环境治理设备的管路设计、安装与故障排除、混凝工艺优化、泵站系统运行与维护等任务。本赛项重点考察参赛学生在环境工程设计、检测与分析、工艺设备安装调试、污染处理系统运行维护等方面的综合性实践和创新能力，培养锻炼参赛学生分析问题、解决问题的能力，以及团队的协作能力。</w:t>
            </w:r>
          </w:p>
        </w:tc>
        <w:tc>
          <w:tcPr>
            <w:tcW w:w="1601" w:type="dxa"/>
            <w:shd w:val="clear" w:color="auto" w:fill="auto"/>
            <w:vAlign w:val="center"/>
          </w:tcPr>
          <w:p>
            <w:pPr>
              <w:widowControl/>
              <w:jc w:val="center"/>
              <w:rPr>
                <w:rFonts w:ascii="宋体" w:hAnsi="宋体" w:eastAsia="宋体" w:cs="宋体"/>
                <w:color w:val="000000"/>
                <w:kern w:val="0"/>
                <w:sz w:val="21"/>
                <w:szCs w:val="21"/>
                <w:lang w:val="en-US" w:eastAsia="zh-CN" w:bidi="ar-SA"/>
              </w:rPr>
            </w:pPr>
            <w:r>
              <w:rPr>
                <w:rFonts w:hint="eastAsia" w:ascii="宋体" w:hAnsi="宋体" w:eastAsia="宋体" w:cs="宋体"/>
                <w:sz w:val="21"/>
                <w:szCs w:val="21"/>
                <w:lang w:val="en-US" w:eastAsia="zh-CN" w:bidi="ar-SA"/>
              </w:rPr>
              <w:t>Ⅱ级甲等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654" w:type="dxa"/>
            <w:shd w:val="clear" w:color="auto" w:fill="auto"/>
            <w:vAlign w:val="center"/>
          </w:tcPr>
          <w:p>
            <w:pPr>
              <w:widowControl/>
              <w:jc w:val="center"/>
              <w:rPr>
                <w:rFonts w:ascii="宋体" w:hAnsi="宋体" w:eastAsia="宋体" w:cs="宋体"/>
                <w:sz w:val="21"/>
                <w:szCs w:val="21"/>
                <w:lang w:eastAsia="zh-CN" w:bidi="ar-SA"/>
              </w:rPr>
            </w:pPr>
            <w:r>
              <w:rPr>
                <w:rFonts w:hint="eastAsia" w:ascii="宋体" w:hAnsi="宋体" w:eastAsia="宋体" w:cs="宋体"/>
                <w:sz w:val="21"/>
                <w:szCs w:val="21"/>
                <w:lang w:eastAsia="zh-CN" w:bidi="ar-SA"/>
              </w:rPr>
              <w:t>3</w:t>
            </w:r>
          </w:p>
        </w:tc>
        <w:tc>
          <w:tcPr>
            <w:tcW w:w="2075" w:type="dxa"/>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生物技术赛项</w:t>
            </w:r>
          </w:p>
        </w:tc>
        <w:tc>
          <w:tcPr>
            <w:tcW w:w="1609" w:type="dxa"/>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江苏省教育厅</w:t>
            </w:r>
          </w:p>
        </w:tc>
        <w:tc>
          <w:tcPr>
            <w:tcW w:w="3412" w:type="dxa"/>
            <w:shd w:val="clear" w:color="auto" w:fill="auto"/>
            <w:vAlign w:val="center"/>
          </w:tcPr>
          <w:p>
            <w:pPr>
              <w:widowControl/>
              <w:rPr>
                <w:rFonts w:ascii="宋体" w:hAnsi="宋体" w:eastAsia="宋体" w:cs="宋体"/>
                <w:color w:val="000000"/>
                <w:kern w:val="0"/>
                <w:sz w:val="21"/>
                <w:szCs w:val="21"/>
                <w:lang w:val="en-US" w:eastAsia="zh-CN" w:bidi="ar-SA"/>
              </w:rPr>
            </w:pPr>
            <w:r>
              <w:rPr>
                <w:rFonts w:hint="eastAsia" w:ascii="宋体" w:hAnsi="宋体" w:eastAsia="宋体" w:cs="宋体"/>
                <w:sz w:val="21"/>
                <w:szCs w:val="21"/>
                <w:lang w:eastAsia="zh-CN" w:bidi="ar-SA"/>
              </w:rPr>
              <w:t>生物技术赛项对接生物医药、生物化工等行业出现的先进技术，选择理论考核、生物活性物质提取与鉴定、生物发酵仿真操作等作为考察项目，通过竞赛营造崇尚技能氛围，培育选手工匠精神。</w:t>
            </w:r>
          </w:p>
        </w:tc>
        <w:tc>
          <w:tcPr>
            <w:tcW w:w="1601" w:type="dxa"/>
            <w:shd w:val="clear" w:color="auto" w:fill="auto"/>
            <w:vAlign w:val="center"/>
          </w:tcPr>
          <w:p>
            <w:pPr>
              <w:widowControl/>
              <w:jc w:val="center"/>
              <w:rPr>
                <w:rFonts w:ascii="宋体" w:hAnsi="宋体" w:eastAsia="宋体" w:cs="宋体"/>
                <w:color w:val="000000"/>
                <w:kern w:val="0"/>
                <w:sz w:val="21"/>
                <w:szCs w:val="21"/>
                <w:lang w:val="en-US" w:eastAsia="zh-CN" w:bidi="ar-SA"/>
              </w:rPr>
            </w:pPr>
            <w:r>
              <w:rPr>
                <w:rFonts w:hint="eastAsia" w:ascii="宋体" w:hAnsi="宋体" w:eastAsia="宋体" w:cs="宋体"/>
                <w:sz w:val="21"/>
                <w:szCs w:val="21"/>
                <w:lang w:val="en-US" w:eastAsia="zh-CN" w:bidi="ar-SA"/>
              </w:rPr>
              <w:t>Ⅱ级甲等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654" w:type="dxa"/>
            <w:shd w:val="clear" w:color="auto" w:fill="auto"/>
            <w:vAlign w:val="center"/>
          </w:tcPr>
          <w:p>
            <w:pPr>
              <w:widowControl/>
              <w:jc w:val="center"/>
              <w:rPr>
                <w:rFonts w:ascii="宋体" w:hAnsi="宋体" w:eastAsia="宋体" w:cs="宋体"/>
                <w:sz w:val="21"/>
                <w:szCs w:val="21"/>
                <w:lang w:eastAsia="zh-CN" w:bidi="ar-SA"/>
              </w:rPr>
            </w:pPr>
            <w:r>
              <w:rPr>
                <w:rFonts w:hint="eastAsia" w:ascii="宋体" w:hAnsi="宋体" w:eastAsia="宋体" w:cs="宋体"/>
                <w:sz w:val="21"/>
                <w:szCs w:val="21"/>
                <w:lang w:eastAsia="zh-CN" w:bidi="ar-SA"/>
              </w:rPr>
              <w:t>4</w:t>
            </w:r>
          </w:p>
        </w:tc>
        <w:tc>
          <w:tcPr>
            <w:tcW w:w="2075" w:type="dxa"/>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食品安全与质量检测</w:t>
            </w:r>
          </w:p>
        </w:tc>
        <w:tc>
          <w:tcPr>
            <w:tcW w:w="1609" w:type="dxa"/>
            <w:shd w:val="clear" w:color="auto" w:fill="auto"/>
            <w:vAlign w:val="center"/>
          </w:tcPr>
          <w:p>
            <w:pPr>
              <w:widowControl/>
              <w:rPr>
                <w:rFonts w:ascii="宋体" w:hAnsi="宋体" w:eastAsia="宋体" w:cs="宋体"/>
                <w:color w:val="000000"/>
                <w:kern w:val="0"/>
                <w:sz w:val="21"/>
                <w:szCs w:val="21"/>
                <w:lang w:val="en-US" w:eastAsia="zh-CN" w:bidi="ar-SA"/>
              </w:rPr>
            </w:pPr>
            <w:r>
              <w:rPr>
                <w:rFonts w:hint="eastAsia" w:ascii="宋体" w:hAnsi="宋体" w:eastAsia="宋体" w:cs="宋体"/>
                <w:sz w:val="21"/>
                <w:szCs w:val="21"/>
                <w:lang w:eastAsia="zh-CN" w:bidi="ar-SA"/>
              </w:rPr>
              <w:t>教育部</w:t>
            </w:r>
            <w:r>
              <w:rPr>
                <w:rFonts w:ascii="宋体" w:hAnsi="宋体" w:eastAsia="宋体" w:cs="宋体"/>
                <w:sz w:val="21"/>
                <w:szCs w:val="21"/>
                <w:lang w:eastAsia="zh-CN" w:bidi="ar-SA"/>
              </w:rPr>
              <w:t>/</w:t>
            </w:r>
            <w:r>
              <w:rPr>
                <w:rFonts w:hint="eastAsia" w:ascii="宋体" w:hAnsi="宋体" w:eastAsia="宋体" w:cs="宋体"/>
                <w:sz w:val="21"/>
                <w:szCs w:val="21"/>
                <w:lang w:eastAsia="zh-CN" w:bidi="ar-SA"/>
              </w:rPr>
              <w:t>江苏省教育厅</w:t>
            </w:r>
            <w:r>
              <w:rPr>
                <w:rFonts w:ascii="宋体" w:hAnsi="宋体" w:eastAsia="宋体" w:cs="宋体"/>
                <w:sz w:val="21"/>
                <w:szCs w:val="21"/>
                <w:lang w:eastAsia="zh-CN" w:bidi="ar-SA"/>
              </w:rPr>
              <w:t>/</w:t>
            </w:r>
            <w:r>
              <w:rPr>
                <w:rFonts w:hint="eastAsia" w:ascii="宋体" w:hAnsi="宋体" w:eastAsia="宋体" w:cs="宋体"/>
                <w:sz w:val="21"/>
                <w:szCs w:val="21"/>
                <w:lang w:eastAsia="zh-CN" w:bidi="ar-SA"/>
              </w:rPr>
              <w:t>江苏省职业院校技能大赛组委会</w:t>
            </w:r>
          </w:p>
        </w:tc>
        <w:tc>
          <w:tcPr>
            <w:tcW w:w="3412" w:type="dxa"/>
            <w:shd w:val="clear" w:color="auto" w:fill="auto"/>
            <w:vAlign w:val="center"/>
          </w:tcPr>
          <w:p>
            <w:pPr>
              <w:widowControl/>
              <w:rPr>
                <w:rFonts w:ascii="宋体" w:hAnsi="宋体" w:eastAsia="宋体" w:cs="宋体"/>
                <w:color w:val="000000"/>
                <w:kern w:val="0"/>
                <w:sz w:val="21"/>
                <w:szCs w:val="21"/>
                <w:lang w:val="en-US" w:eastAsia="zh-CN" w:bidi="ar-SA"/>
              </w:rPr>
            </w:pPr>
            <w:r>
              <w:rPr>
                <w:rFonts w:hint="eastAsia" w:ascii="宋体" w:hAnsi="宋体" w:eastAsia="宋体" w:cs="宋体"/>
                <w:sz w:val="21"/>
                <w:szCs w:val="21"/>
                <w:lang w:eastAsia="zh-CN" w:bidi="ar-SA"/>
              </w:rPr>
              <w:t>该赛项是全国职业院校技能大赛赛项（</w:t>
            </w:r>
            <w:r>
              <w:rPr>
                <w:rFonts w:ascii="宋体" w:hAnsi="宋体" w:eastAsia="宋体" w:cs="宋体"/>
                <w:sz w:val="21"/>
                <w:szCs w:val="21"/>
                <w:lang w:eastAsia="zh-CN" w:bidi="ar-SA"/>
              </w:rPr>
              <w:t>GZ025</w:t>
            </w:r>
            <w:r>
              <w:rPr>
                <w:rFonts w:hint="eastAsia" w:ascii="宋体" w:hAnsi="宋体" w:eastAsia="宋体" w:cs="宋体"/>
                <w:sz w:val="21"/>
                <w:szCs w:val="21"/>
                <w:lang w:eastAsia="zh-CN" w:bidi="ar-SA"/>
              </w:rPr>
              <w:t>），主要对接国家“十四五”规划——“食品安全战略和食品药品安全重大民生工程”。赛项设置上对接产业前沿技术，引入行业标准，通过考察参赛选手在食品安全与质量检测领域所涉及的食品安全管理知识、食品微生物检验和理化分析技能等多方面知识和技能。</w:t>
            </w:r>
          </w:p>
        </w:tc>
        <w:tc>
          <w:tcPr>
            <w:tcW w:w="1601" w:type="dxa"/>
            <w:shd w:val="clear" w:color="auto" w:fill="auto"/>
            <w:vAlign w:val="center"/>
          </w:tcPr>
          <w:p>
            <w:pPr>
              <w:widowControl/>
              <w:jc w:val="center"/>
              <w:rPr>
                <w:rFonts w:ascii="宋体" w:hAnsi="宋体" w:eastAsia="宋体" w:cs="宋体"/>
                <w:color w:val="000000"/>
                <w:kern w:val="0"/>
                <w:sz w:val="21"/>
                <w:szCs w:val="21"/>
                <w:lang w:val="en-US" w:eastAsia="zh-CN" w:bidi="ar-SA"/>
              </w:rPr>
            </w:pPr>
            <w:r>
              <w:rPr>
                <w:rFonts w:hint="eastAsia" w:ascii="宋体" w:hAnsi="宋体" w:eastAsia="宋体" w:cs="宋体"/>
                <w:sz w:val="21"/>
                <w:szCs w:val="21"/>
                <w:lang w:val="en-US" w:eastAsia="zh-CN" w:bidi="ar-SA"/>
              </w:rPr>
              <w:t>Ⅱ</w:t>
            </w:r>
            <w:r>
              <w:rPr>
                <w:rFonts w:hint="eastAsia" w:ascii="宋体" w:hAnsi="宋体" w:eastAsia="宋体" w:cs="宋体"/>
                <w:sz w:val="21"/>
                <w:szCs w:val="21"/>
                <w:lang w:eastAsia="zh-CN" w:bidi="ar-SA"/>
              </w:rPr>
              <w:t>级</w:t>
            </w:r>
            <w:r>
              <w:rPr>
                <w:rFonts w:hint="eastAsia" w:ascii="宋体" w:hAnsi="宋体" w:eastAsia="宋体" w:cs="宋体"/>
                <w:sz w:val="21"/>
                <w:szCs w:val="21"/>
                <w:lang w:val="en-US" w:eastAsia="zh-CN" w:bidi="ar-SA"/>
              </w:rPr>
              <w:t>乙</w:t>
            </w:r>
            <w:r>
              <w:rPr>
                <w:rFonts w:hint="eastAsia" w:ascii="宋体" w:hAnsi="宋体" w:eastAsia="宋体" w:cs="宋体"/>
                <w:sz w:val="21"/>
                <w:szCs w:val="21"/>
                <w:lang w:eastAsia="zh-CN" w:bidi="ar-SA"/>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654" w:type="dxa"/>
            <w:shd w:val="clear" w:color="auto" w:fill="auto"/>
            <w:vAlign w:val="center"/>
          </w:tcPr>
          <w:p>
            <w:pPr>
              <w:widowControl/>
              <w:jc w:val="center"/>
              <w:rPr>
                <w:rFonts w:ascii="宋体" w:hAnsi="宋体" w:eastAsia="宋体" w:cs="宋体"/>
                <w:sz w:val="21"/>
                <w:szCs w:val="21"/>
                <w:lang w:eastAsia="zh-CN" w:bidi="ar-SA"/>
              </w:rPr>
            </w:pPr>
            <w:r>
              <w:rPr>
                <w:rFonts w:hint="eastAsia" w:ascii="宋体" w:hAnsi="宋体" w:eastAsia="宋体" w:cs="宋体"/>
                <w:sz w:val="21"/>
                <w:szCs w:val="21"/>
                <w:lang w:eastAsia="zh-CN" w:bidi="ar-SA"/>
              </w:rPr>
              <w:t>5</w:t>
            </w:r>
          </w:p>
        </w:tc>
        <w:tc>
          <w:tcPr>
            <w:tcW w:w="2075" w:type="dxa"/>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面料检测技能大赛</w:t>
            </w:r>
          </w:p>
        </w:tc>
        <w:tc>
          <w:tcPr>
            <w:tcW w:w="1609" w:type="dxa"/>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中国纺织服装教育学会</w:t>
            </w:r>
          </w:p>
        </w:tc>
        <w:tc>
          <w:tcPr>
            <w:tcW w:w="3412" w:type="dxa"/>
            <w:shd w:val="clear" w:color="auto" w:fill="auto"/>
            <w:vAlign w:val="center"/>
          </w:tcPr>
          <w:p>
            <w:pPr>
              <w:widowControl/>
              <w:rPr>
                <w:rFonts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大赛</w:t>
            </w:r>
            <w:r>
              <w:rPr>
                <w:rFonts w:hint="eastAsia" w:ascii="宋体" w:hAnsi="宋体" w:eastAsia="宋体" w:cs="宋体"/>
                <w:sz w:val="21"/>
                <w:szCs w:val="21"/>
                <w:lang w:eastAsia="zh-CN" w:bidi="ar-SA"/>
              </w:rPr>
              <w:t>大赛由中国纺织服装教育学会、全国纺织服装职业教育教学指导委员会主办，</w:t>
            </w:r>
            <w:r>
              <w:rPr>
                <w:rFonts w:hint="eastAsia" w:ascii="宋体" w:hAnsi="宋体" w:eastAsia="宋体" w:cs="宋体"/>
                <w:color w:val="000000"/>
                <w:kern w:val="0"/>
                <w:sz w:val="21"/>
                <w:szCs w:val="21"/>
                <w:lang w:val="en-US" w:eastAsia="zh-CN" w:bidi="ar-SA"/>
              </w:rPr>
              <w:t>旨在全面检测全国高职高专院校纺织类专业人才培养成果，促进纺织类专业教学水平的提高。</w:t>
            </w:r>
          </w:p>
        </w:tc>
        <w:tc>
          <w:tcPr>
            <w:tcW w:w="1601" w:type="dxa"/>
            <w:shd w:val="clear" w:color="auto" w:fill="auto"/>
            <w:vAlign w:val="center"/>
          </w:tcPr>
          <w:p>
            <w:pPr>
              <w:widowControl/>
              <w:jc w:val="center"/>
              <w:rPr>
                <w:rFonts w:hint="default" w:ascii="宋体" w:hAnsi="宋体" w:eastAsia="宋体" w:cs="宋体"/>
                <w:color w:val="000000"/>
                <w:kern w:val="0"/>
                <w:sz w:val="21"/>
                <w:szCs w:val="21"/>
                <w:lang w:val="en-US" w:eastAsia="zh-CN" w:bidi="ar-SA"/>
              </w:rPr>
            </w:pPr>
            <w:r>
              <w:rPr>
                <w:rFonts w:hint="eastAsia" w:ascii="宋体" w:hAnsi="宋体" w:eastAsia="宋体" w:cs="宋体"/>
                <w:sz w:val="21"/>
                <w:szCs w:val="21"/>
                <w:lang w:val="en-US" w:eastAsia="zh-CN" w:bidi="ar-SA"/>
              </w:rPr>
              <w:t>Ⅱ</w:t>
            </w:r>
            <w:r>
              <w:rPr>
                <w:rFonts w:hint="eastAsia" w:ascii="宋体" w:hAnsi="宋体" w:eastAsia="宋体" w:cs="宋体"/>
                <w:sz w:val="21"/>
                <w:szCs w:val="21"/>
                <w:lang w:eastAsia="zh-CN" w:bidi="ar-SA"/>
              </w:rPr>
              <w:t>级</w:t>
            </w:r>
            <w:r>
              <w:rPr>
                <w:rFonts w:hint="eastAsia" w:ascii="宋体" w:hAnsi="宋体" w:eastAsia="宋体" w:cs="宋体"/>
                <w:sz w:val="21"/>
                <w:szCs w:val="21"/>
                <w:lang w:val="en-US" w:eastAsia="zh-CN" w:bidi="ar-SA"/>
              </w:rPr>
              <w:t>乙</w:t>
            </w:r>
            <w:r>
              <w:rPr>
                <w:rFonts w:hint="eastAsia" w:ascii="宋体" w:hAnsi="宋体" w:eastAsia="宋体" w:cs="宋体"/>
                <w:sz w:val="21"/>
                <w:szCs w:val="21"/>
                <w:lang w:eastAsia="zh-CN" w:bidi="ar-SA"/>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654" w:type="dxa"/>
            <w:shd w:val="clear" w:color="auto" w:fill="auto"/>
            <w:vAlign w:val="center"/>
          </w:tcPr>
          <w:p>
            <w:pPr>
              <w:widowControl/>
              <w:jc w:val="center"/>
              <w:rPr>
                <w:rFonts w:ascii="宋体" w:hAnsi="宋体" w:eastAsia="宋体" w:cs="宋体"/>
                <w:sz w:val="21"/>
                <w:szCs w:val="21"/>
                <w:lang w:eastAsia="zh-CN" w:bidi="ar-SA"/>
              </w:rPr>
            </w:pPr>
            <w:r>
              <w:rPr>
                <w:rFonts w:hint="eastAsia" w:ascii="宋体" w:hAnsi="宋体" w:eastAsia="宋体" w:cs="宋体"/>
                <w:sz w:val="21"/>
                <w:szCs w:val="21"/>
                <w:lang w:eastAsia="zh-CN" w:bidi="ar-SA"/>
              </w:rPr>
              <w:t>6</w:t>
            </w:r>
          </w:p>
        </w:tc>
        <w:tc>
          <w:tcPr>
            <w:tcW w:w="2075" w:type="dxa"/>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纺织贸易与商业策划</w:t>
            </w:r>
          </w:p>
        </w:tc>
        <w:tc>
          <w:tcPr>
            <w:tcW w:w="1609" w:type="dxa"/>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中国纺织服装教育学会</w:t>
            </w:r>
          </w:p>
        </w:tc>
        <w:tc>
          <w:tcPr>
            <w:tcW w:w="3412" w:type="dxa"/>
            <w:shd w:val="clear" w:color="auto" w:fill="auto"/>
            <w:vAlign w:val="center"/>
          </w:tcPr>
          <w:p>
            <w:pPr>
              <w:widowControl/>
              <w:rPr>
                <w:rFonts w:ascii="宋体" w:hAnsi="宋体" w:eastAsia="宋体" w:cs="宋体"/>
                <w:color w:val="000000"/>
                <w:kern w:val="0"/>
                <w:sz w:val="21"/>
                <w:szCs w:val="21"/>
                <w:lang w:val="en-US" w:eastAsia="zh-CN" w:bidi="ar-SA"/>
              </w:rPr>
            </w:pPr>
            <w:r>
              <w:rPr>
                <w:rFonts w:hint="eastAsia" w:ascii="宋体" w:hAnsi="宋体" w:eastAsia="宋体" w:cs="宋体"/>
                <w:sz w:val="21"/>
                <w:szCs w:val="21"/>
                <w:lang w:eastAsia="zh-CN" w:bidi="ar-SA"/>
              </w:rPr>
              <w:t>全国大学生纺织贸易与商业策划创新能力大赛由中国纺织服装教育学会、全国纺织服装职业教育教学指导委员会主办，致力于满足行业、企业需求，培养我国高素质应用型纺织服装类国际贸易及跨境电商多元化复合型人才的目标。竞赛由综合理论、实务操作、商业策划创新能力展示三部分内容组成，着重于考查学生理论知识以及实务操作的综合能力。</w:t>
            </w:r>
          </w:p>
        </w:tc>
        <w:tc>
          <w:tcPr>
            <w:tcW w:w="1601" w:type="dxa"/>
            <w:shd w:val="clear" w:color="auto" w:fill="auto"/>
            <w:vAlign w:val="center"/>
          </w:tcPr>
          <w:p>
            <w:pPr>
              <w:widowControl/>
              <w:jc w:val="center"/>
              <w:rPr>
                <w:rFonts w:hint="default" w:ascii="宋体" w:hAnsi="宋体" w:eastAsia="宋体" w:cs="宋体"/>
                <w:color w:val="000000"/>
                <w:kern w:val="0"/>
                <w:sz w:val="21"/>
                <w:szCs w:val="21"/>
                <w:lang w:val="en-US" w:eastAsia="zh-CN" w:bidi="ar-SA"/>
              </w:rPr>
            </w:pPr>
            <w:r>
              <w:rPr>
                <w:rFonts w:hint="eastAsia" w:ascii="宋体" w:hAnsi="宋体" w:eastAsia="宋体" w:cs="宋体"/>
                <w:sz w:val="21"/>
                <w:szCs w:val="21"/>
                <w:lang w:val="en-US" w:eastAsia="zh-CN" w:bidi="ar-SA"/>
              </w:rPr>
              <w:t>Ⅱ</w:t>
            </w:r>
            <w:r>
              <w:rPr>
                <w:rFonts w:hint="eastAsia" w:ascii="宋体" w:hAnsi="宋体" w:eastAsia="宋体" w:cs="宋体"/>
                <w:sz w:val="21"/>
                <w:szCs w:val="21"/>
                <w:lang w:eastAsia="zh-CN" w:bidi="ar-SA"/>
              </w:rPr>
              <w:t>级</w:t>
            </w:r>
            <w:r>
              <w:rPr>
                <w:rFonts w:hint="eastAsia" w:ascii="宋体" w:hAnsi="宋体" w:eastAsia="宋体" w:cs="宋体"/>
                <w:sz w:val="21"/>
                <w:szCs w:val="21"/>
                <w:lang w:val="en-US" w:eastAsia="zh-CN" w:bidi="ar-SA"/>
              </w:rPr>
              <w:t>乙</w:t>
            </w:r>
            <w:r>
              <w:rPr>
                <w:rFonts w:hint="eastAsia" w:ascii="宋体" w:hAnsi="宋体" w:eastAsia="宋体" w:cs="宋体"/>
                <w:sz w:val="21"/>
                <w:szCs w:val="21"/>
                <w:lang w:eastAsia="zh-CN" w:bidi="ar-SA"/>
              </w:rPr>
              <w:t>等</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654" w:type="dxa"/>
            <w:shd w:val="clear" w:color="auto" w:fill="auto"/>
            <w:vAlign w:val="center"/>
          </w:tcPr>
          <w:p>
            <w:pPr>
              <w:widowControl/>
              <w:jc w:val="center"/>
              <w:rPr>
                <w:rFonts w:ascii="宋体" w:hAnsi="宋体" w:eastAsia="宋体" w:cs="宋体"/>
                <w:sz w:val="21"/>
                <w:szCs w:val="21"/>
                <w:lang w:eastAsia="zh-CN" w:bidi="ar-SA"/>
              </w:rPr>
            </w:pPr>
            <w:r>
              <w:rPr>
                <w:rFonts w:hint="eastAsia" w:ascii="宋体" w:hAnsi="宋体" w:eastAsia="宋体" w:cs="宋体"/>
                <w:sz w:val="21"/>
                <w:szCs w:val="21"/>
                <w:lang w:eastAsia="zh-CN" w:bidi="ar-SA"/>
              </w:rPr>
              <w:t>7</w:t>
            </w:r>
          </w:p>
        </w:tc>
        <w:tc>
          <w:tcPr>
            <w:tcW w:w="2075" w:type="dxa"/>
            <w:shd w:val="clear" w:color="auto" w:fill="auto"/>
            <w:vAlign w:val="center"/>
          </w:tcPr>
          <w:p>
            <w:pPr>
              <w:keepNext w:val="0"/>
              <w:keepLines w:val="0"/>
              <w:widowControl/>
              <w:suppressLineNumbers w:val="0"/>
              <w:jc w:val="center"/>
              <w:textAlignment w:val="center"/>
              <w:rPr>
                <w:rFonts w:ascii="宋体" w:hAnsi="宋体" w:eastAsia="宋体" w:cs="宋体"/>
                <w:sz w:val="21"/>
                <w:szCs w:val="21"/>
                <w:lang w:eastAsia="zh-CN" w:bidi="ar-SA"/>
              </w:rPr>
            </w:pPr>
          </w:p>
        </w:tc>
        <w:tc>
          <w:tcPr>
            <w:tcW w:w="1609" w:type="dxa"/>
            <w:shd w:val="clear" w:color="auto" w:fill="auto"/>
            <w:vAlign w:val="center"/>
          </w:tcPr>
          <w:p>
            <w:pPr>
              <w:keepNext w:val="0"/>
              <w:keepLines w:val="0"/>
              <w:widowControl/>
              <w:suppressLineNumbers w:val="0"/>
              <w:jc w:val="center"/>
              <w:textAlignment w:val="center"/>
              <w:rPr>
                <w:rFonts w:ascii="宋体" w:hAnsi="宋体" w:eastAsia="宋体" w:cs="宋体"/>
                <w:sz w:val="21"/>
                <w:szCs w:val="21"/>
                <w:lang w:eastAsia="zh-CN" w:bidi="ar-SA"/>
              </w:rPr>
            </w:pPr>
          </w:p>
        </w:tc>
        <w:tc>
          <w:tcPr>
            <w:tcW w:w="3412" w:type="dxa"/>
            <w:shd w:val="clear" w:color="auto" w:fill="auto"/>
            <w:vAlign w:val="center"/>
          </w:tcPr>
          <w:p>
            <w:pPr>
              <w:widowControl/>
              <w:rPr>
                <w:rFonts w:ascii="宋体" w:hAnsi="宋体" w:eastAsia="宋体" w:cs="宋体"/>
                <w:sz w:val="21"/>
                <w:szCs w:val="21"/>
                <w:lang w:eastAsia="zh-CN" w:bidi="ar-SA"/>
              </w:rPr>
            </w:pPr>
          </w:p>
        </w:tc>
        <w:tc>
          <w:tcPr>
            <w:tcW w:w="1601" w:type="dxa"/>
            <w:shd w:val="clear" w:color="auto" w:fill="auto"/>
            <w:vAlign w:val="center"/>
          </w:tcPr>
          <w:p>
            <w:pPr>
              <w:widowControl/>
              <w:jc w:val="center"/>
              <w:rPr>
                <w:rFonts w:ascii="宋体" w:hAnsi="宋体" w:eastAsia="宋体" w:cs="宋体"/>
                <w:sz w:val="21"/>
                <w:szCs w:val="21"/>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654" w:type="dxa"/>
            <w:shd w:val="clear" w:color="auto" w:fill="auto"/>
            <w:vAlign w:val="center"/>
          </w:tcPr>
          <w:p>
            <w:pPr>
              <w:widowControl/>
              <w:jc w:val="center"/>
              <w:rPr>
                <w:rFonts w:ascii="宋体" w:hAnsi="宋体" w:eastAsia="宋体" w:cs="宋体"/>
                <w:sz w:val="21"/>
                <w:szCs w:val="21"/>
                <w:lang w:eastAsia="zh-CN" w:bidi="ar-SA"/>
              </w:rPr>
            </w:pPr>
            <w:r>
              <w:rPr>
                <w:rFonts w:hint="eastAsia" w:ascii="宋体" w:hAnsi="宋体" w:eastAsia="宋体" w:cs="宋体"/>
                <w:sz w:val="21"/>
                <w:szCs w:val="21"/>
                <w:lang w:eastAsia="zh-CN" w:bidi="ar-SA"/>
              </w:rPr>
              <w:t>8</w:t>
            </w:r>
          </w:p>
        </w:tc>
        <w:tc>
          <w:tcPr>
            <w:tcW w:w="2075" w:type="dxa"/>
            <w:shd w:val="clear" w:color="auto" w:fill="auto"/>
            <w:vAlign w:val="center"/>
          </w:tcPr>
          <w:p>
            <w:pPr>
              <w:widowControl/>
              <w:rPr>
                <w:rFonts w:ascii="宋体" w:hAnsi="宋体" w:eastAsia="宋体" w:cs="宋体"/>
                <w:sz w:val="21"/>
                <w:szCs w:val="21"/>
                <w:lang w:eastAsia="zh-CN" w:bidi="ar-SA"/>
              </w:rPr>
            </w:pPr>
          </w:p>
        </w:tc>
        <w:tc>
          <w:tcPr>
            <w:tcW w:w="1609" w:type="dxa"/>
            <w:shd w:val="clear" w:color="auto" w:fill="auto"/>
            <w:vAlign w:val="center"/>
          </w:tcPr>
          <w:p>
            <w:pPr>
              <w:widowControl/>
              <w:rPr>
                <w:rFonts w:ascii="宋体" w:hAnsi="宋体" w:eastAsia="宋体" w:cs="宋体"/>
                <w:sz w:val="21"/>
                <w:szCs w:val="21"/>
                <w:lang w:eastAsia="zh-CN" w:bidi="ar-SA"/>
              </w:rPr>
            </w:pPr>
          </w:p>
        </w:tc>
        <w:tc>
          <w:tcPr>
            <w:tcW w:w="3412" w:type="dxa"/>
            <w:shd w:val="clear" w:color="auto" w:fill="auto"/>
            <w:vAlign w:val="center"/>
          </w:tcPr>
          <w:p>
            <w:pPr>
              <w:widowControl/>
              <w:rPr>
                <w:rFonts w:ascii="宋体" w:hAnsi="宋体" w:eastAsia="宋体" w:cs="宋体"/>
                <w:sz w:val="21"/>
                <w:szCs w:val="21"/>
                <w:lang w:eastAsia="zh-CN" w:bidi="ar-SA"/>
              </w:rPr>
            </w:pPr>
          </w:p>
        </w:tc>
        <w:tc>
          <w:tcPr>
            <w:tcW w:w="1601" w:type="dxa"/>
            <w:shd w:val="clear" w:color="auto" w:fill="auto"/>
            <w:vAlign w:val="center"/>
          </w:tcPr>
          <w:p>
            <w:pPr>
              <w:widowControl/>
              <w:jc w:val="center"/>
              <w:rPr>
                <w:rFonts w:ascii="宋体" w:hAnsi="宋体" w:eastAsia="宋体" w:cs="宋体"/>
                <w:sz w:val="21"/>
                <w:szCs w:val="21"/>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654" w:type="dxa"/>
            <w:shd w:val="clear" w:color="auto" w:fill="auto"/>
            <w:vAlign w:val="center"/>
          </w:tcPr>
          <w:p>
            <w:pPr>
              <w:widowControl/>
              <w:jc w:val="center"/>
              <w:rPr>
                <w:rFonts w:ascii="宋体" w:hAnsi="宋体" w:eastAsia="宋体" w:cs="宋体"/>
                <w:sz w:val="21"/>
                <w:szCs w:val="21"/>
                <w:lang w:eastAsia="zh-CN" w:bidi="ar-SA"/>
              </w:rPr>
            </w:pPr>
            <w:r>
              <w:rPr>
                <w:rFonts w:hint="eastAsia" w:ascii="宋体" w:hAnsi="宋体" w:eastAsia="宋体" w:cs="宋体"/>
                <w:sz w:val="21"/>
                <w:szCs w:val="21"/>
                <w:lang w:eastAsia="zh-CN" w:bidi="ar-SA"/>
              </w:rPr>
              <w:t>9</w:t>
            </w:r>
          </w:p>
        </w:tc>
        <w:tc>
          <w:tcPr>
            <w:tcW w:w="2075" w:type="dxa"/>
            <w:shd w:val="clear" w:color="auto" w:fill="auto"/>
            <w:vAlign w:val="center"/>
          </w:tcPr>
          <w:p>
            <w:pPr>
              <w:widowControl/>
              <w:rPr>
                <w:rFonts w:ascii="宋体" w:hAnsi="宋体" w:eastAsia="宋体" w:cs="宋体"/>
                <w:sz w:val="21"/>
                <w:szCs w:val="21"/>
                <w:lang w:eastAsia="zh-CN" w:bidi="ar-SA"/>
              </w:rPr>
            </w:pPr>
          </w:p>
        </w:tc>
        <w:tc>
          <w:tcPr>
            <w:tcW w:w="1609" w:type="dxa"/>
            <w:shd w:val="clear" w:color="auto" w:fill="auto"/>
            <w:vAlign w:val="center"/>
          </w:tcPr>
          <w:p>
            <w:pPr>
              <w:widowControl/>
              <w:rPr>
                <w:rFonts w:ascii="宋体" w:hAnsi="宋体" w:eastAsia="宋体" w:cs="宋体"/>
                <w:sz w:val="21"/>
                <w:szCs w:val="21"/>
                <w:lang w:eastAsia="zh-CN" w:bidi="ar-SA"/>
              </w:rPr>
            </w:pPr>
          </w:p>
        </w:tc>
        <w:tc>
          <w:tcPr>
            <w:tcW w:w="3412" w:type="dxa"/>
            <w:shd w:val="clear" w:color="auto" w:fill="auto"/>
            <w:vAlign w:val="center"/>
          </w:tcPr>
          <w:p>
            <w:pPr>
              <w:widowControl/>
              <w:rPr>
                <w:rFonts w:ascii="宋体" w:hAnsi="宋体" w:eastAsia="宋体" w:cs="宋体"/>
                <w:sz w:val="21"/>
                <w:szCs w:val="21"/>
                <w:lang w:eastAsia="zh-CN" w:bidi="ar-SA"/>
              </w:rPr>
            </w:pPr>
          </w:p>
        </w:tc>
        <w:tc>
          <w:tcPr>
            <w:tcW w:w="1601" w:type="dxa"/>
            <w:shd w:val="clear" w:color="auto" w:fill="auto"/>
            <w:vAlign w:val="center"/>
          </w:tcPr>
          <w:p>
            <w:pPr>
              <w:widowControl/>
              <w:jc w:val="center"/>
              <w:rPr>
                <w:rFonts w:ascii="宋体" w:hAnsi="宋体" w:eastAsia="宋体" w:cs="宋体"/>
                <w:sz w:val="21"/>
                <w:szCs w:val="21"/>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654" w:type="dxa"/>
            <w:shd w:val="clear" w:color="auto" w:fill="auto"/>
            <w:vAlign w:val="center"/>
          </w:tcPr>
          <w:p>
            <w:pPr>
              <w:widowControl/>
              <w:jc w:val="center"/>
              <w:rPr>
                <w:rFonts w:ascii="宋体" w:hAnsi="宋体" w:eastAsia="宋体" w:cs="宋体"/>
                <w:sz w:val="21"/>
                <w:szCs w:val="21"/>
                <w:lang w:eastAsia="zh-CN" w:bidi="ar-SA"/>
              </w:rPr>
            </w:pPr>
            <w:r>
              <w:rPr>
                <w:rFonts w:hint="eastAsia" w:ascii="宋体" w:hAnsi="宋体" w:eastAsia="宋体" w:cs="宋体"/>
                <w:sz w:val="21"/>
                <w:szCs w:val="21"/>
                <w:lang w:eastAsia="zh-CN" w:bidi="ar-SA"/>
              </w:rPr>
              <w:t>1</w:t>
            </w:r>
            <w:r>
              <w:rPr>
                <w:rFonts w:ascii="宋体" w:hAnsi="宋体" w:eastAsia="宋体" w:cs="宋体"/>
                <w:sz w:val="21"/>
                <w:szCs w:val="21"/>
                <w:lang w:eastAsia="zh-CN" w:bidi="ar-SA"/>
              </w:rPr>
              <w:t>0</w:t>
            </w:r>
          </w:p>
        </w:tc>
        <w:tc>
          <w:tcPr>
            <w:tcW w:w="2075" w:type="dxa"/>
            <w:shd w:val="clear" w:color="auto" w:fill="auto"/>
            <w:vAlign w:val="center"/>
          </w:tcPr>
          <w:p>
            <w:pPr>
              <w:widowControl/>
              <w:rPr>
                <w:rFonts w:ascii="宋体" w:hAnsi="宋体" w:eastAsia="宋体" w:cs="宋体"/>
                <w:sz w:val="21"/>
                <w:szCs w:val="21"/>
                <w:lang w:eastAsia="zh-CN" w:bidi="ar-SA"/>
              </w:rPr>
            </w:pPr>
          </w:p>
        </w:tc>
        <w:tc>
          <w:tcPr>
            <w:tcW w:w="1609" w:type="dxa"/>
            <w:shd w:val="clear" w:color="auto" w:fill="auto"/>
            <w:vAlign w:val="center"/>
          </w:tcPr>
          <w:p>
            <w:pPr>
              <w:widowControl/>
              <w:rPr>
                <w:rFonts w:ascii="宋体" w:hAnsi="宋体" w:eastAsia="宋体" w:cs="宋体"/>
                <w:sz w:val="21"/>
                <w:szCs w:val="21"/>
                <w:lang w:eastAsia="zh-CN" w:bidi="ar-SA"/>
              </w:rPr>
            </w:pPr>
          </w:p>
        </w:tc>
        <w:tc>
          <w:tcPr>
            <w:tcW w:w="3412" w:type="dxa"/>
            <w:shd w:val="clear" w:color="auto" w:fill="auto"/>
            <w:vAlign w:val="center"/>
          </w:tcPr>
          <w:p>
            <w:pPr>
              <w:widowControl/>
              <w:rPr>
                <w:rFonts w:ascii="宋体" w:hAnsi="宋体" w:eastAsia="宋体" w:cs="宋体"/>
                <w:sz w:val="21"/>
                <w:szCs w:val="21"/>
                <w:lang w:eastAsia="zh-CN" w:bidi="ar-SA"/>
              </w:rPr>
            </w:pPr>
          </w:p>
        </w:tc>
        <w:tc>
          <w:tcPr>
            <w:tcW w:w="1601" w:type="dxa"/>
            <w:shd w:val="clear" w:color="auto" w:fill="auto"/>
            <w:vAlign w:val="center"/>
          </w:tcPr>
          <w:p>
            <w:pPr>
              <w:widowControl/>
              <w:jc w:val="center"/>
              <w:rPr>
                <w:rFonts w:ascii="宋体" w:hAnsi="宋体" w:eastAsia="宋体" w:cs="宋体"/>
                <w:sz w:val="21"/>
                <w:szCs w:val="21"/>
                <w:lang w:eastAsia="zh-CN" w:bidi="ar-SA"/>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C5972FF-5065-4217-BAB7-6FD80143ED6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embedRegular r:id="rId2" w:fontKey="{4A2E9A26-AF43-4A60-9C98-DA53DE6339F6}"/>
  </w:font>
  <w:font w:name="PMingLiU">
    <w:altName w:val="Microsoft JhengHei UI"/>
    <w:panose1 w:val="02010601000101010101"/>
    <w:charset w:val="88"/>
    <w:family w:val="roman"/>
    <w:pitch w:val="default"/>
    <w:sig w:usb0="00000000" w:usb1="00000000" w:usb2="00000016" w:usb3="00000000" w:csb0="00100001" w:csb1="00000000"/>
    <w:embedRegular r:id="rId3" w:fontKey="{0728DD55-3702-482B-9880-157A5ED0AADD}"/>
  </w:font>
  <w:font w:name="Microsoft JhengHei UI">
    <w:panose1 w:val="020B0604030504040204"/>
    <w:charset w:val="88"/>
    <w:family w:val="auto"/>
    <w:pitch w:val="default"/>
    <w:sig w:usb0="000002A7" w:usb1="28CF4400" w:usb2="00000016" w:usb3="00000000" w:csb0="00100009"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3"/>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QzMWM0MjAyYzhkNjE5ZmY2OWE3NGI0ZGVjMjA2ZDIifQ=="/>
  </w:docVars>
  <w:rsids>
    <w:rsidRoot w:val="0034500A"/>
    <w:rsid w:val="000C4956"/>
    <w:rsid w:val="002105F8"/>
    <w:rsid w:val="0034500A"/>
    <w:rsid w:val="00E72702"/>
    <w:rsid w:val="00EE58F8"/>
    <w:rsid w:val="00F96431"/>
    <w:rsid w:val="0C781B61"/>
    <w:rsid w:val="0F3F1AA3"/>
    <w:rsid w:val="26C12A90"/>
    <w:rsid w:val="308456BC"/>
    <w:rsid w:val="3F0538C0"/>
    <w:rsid w:val="5634239B"/>
    <w:rsid w:val="65271F32"/>
    <w:rsid w:val="6BEE3CEE"/>
    <w:rsid w:val="79A454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kern w:val="0"/>
      <w:sz w:val="24"/>
      <w:szCs w:val="24"/>
      <w:lang w:val="en-US" w:eastAsia="en-US" w:bidi="en-US"/>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pPr>
    <w:rPr>
      <w:sz w:val="18"/>
      <w:szCs w:val="18"/>
    </w:rPr>
  </w:style>
  <w:style w:type="paragraph" w:styleId="3">
    <w:name w:val="header"/>
    <w:basedOn w:val="1"/>
    <w:link w:val="8"/>
    <w:unhideWhenUsed/>
    <w:qFormat/>
    <w:uiPriority w:val="99"/>
    <w:pPr>
      <w:tabs>
        <w:tab w:val="center" w:pos="4153"/>
        <w:tab w:val="right" w:pos="8306"/>
      </w:tabs>
      <w:snapToGrid w:val="0"/>
      <w:jc w:val="center"/>
    </w:pPr>
    <w:rPr>
      <w:sz w:val="18"/>
      <w:szCs w:val="18"/>
    </w:rPr>
  </w:style>
  <w:style w:type="character" w:customStyle="1" w:styleId="6">
    <w:name w:val="Table caption|1_"/>
    <w:basedOn w:val="5"/>
    <w:link w:val="7"/>
    <w:qFormat/>
    <w:uiPriority w:val="0"/>
    <w:rPr>
      <w:rFonts w:ascii="宋体" w:hAnsi="宋体" w:eastAsia="宋体" w:cs="宋体"/>
      <w:sz w:val="26"/>
      <w:szCs w:val="26"/>
      <w:lang w:val="zh-TW" w:eastAsia="zh-TW" w:bidi="zh-TW"/>
    </w:rPr>
  </w:style>
  <w:style w:type="paragraph" w:customStyle="1" w:styleId="7">
    <w:name w:val="Table caption|1"/>
    <w:basedOn w:val="1"/>
    <w:link w:val="6"/>
    <w:qFormat/>
    <w:uiPriority w:val="0"/>
    <w:rPr>
      <w:rFonts w:ascii="宋体" w:hAnsi="宋体" w:eastAsia="宋体" w:cs="宋体"/>
      <w:color w:val="auto"/>
      <w:kern w:val="2"/>
      <w:sz w:val="26"/>
      <w:szCs w:val="26"/>
      <w:lang w:val="zh-TW" w:eastAsia="zh-TW" w:bidi="zh-TW"/>
    </w:rPr>
  </w:style>
  <w:style w:type="character" w:customStyle="1" w:styleId="8">
    <w:name w:val="页眉 字符"/>
    <w:basedOn w:val="5"/>
    <w:link w:val="3"/>
    <w:qFormat/>
    <w:uiPriority w:val="99"/>
    <w:rPr>
      <w:rFonts w:ascii="Times New Roman" w:hAnsi="Times New Roman" w:eastAsia="Times New Roman" w:cs="Times New Roman"/>
      <w:color w:val="000000"/>
      <w:kern w:val="0"/>
      <w:sz w:val="18"/>
      <w:szCs w:val="18"/>
      <w:lang w:eastAsia="en-US" w:bidi="en-US"/>
    </w:rPr>
  </w:style>
  <w:style w:type="character" w:customStyle="1" w:styleId="9">
    <w:name w:val="页脚 字符"/>
    <w:basedOn w:val="5"/>
    <w:link w:val="2"/>
    <w:qFormat/>
    <w:uiPriority w:val="99"/>
    <w:rPr>
      <w:rFonts w:ascii="Times New Roman" w:hAnsi="Times New Roman" w:eastAsia="Times New Roman" w:cs="Times New Roman"/>
      <w:color w:val="000000"/>
      <w:kern w:val="0"/>
      <w:sz w:val="18"/>
      <w:szCs w:val="18"/>
      <w:lang w:eastAsia="en-US" w:bidi="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1240</Words>
  <Characters>1255</Characters>
  <Lines>2</Lines>
  <Paragraphs>1</Paragraphs>
  <TotalTime>0</TotalTime>
  <ScaleCrop>false</ScaleCrop>
  <LinksUpToDate>false</LinksUpToDate>
  <CharactersWithSpaces>1258</CharactersWithSpaces>
  <Application>WPS Office_11.1.0.14305_F1E327BC-269C-435d-A152-05C5408002CA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2020-09-21T09:39:00Z</dcterms:created>
  <dc:creator>YSP</dc:creator>
  <cp:lastModifiedBy>A5～Ｍy</cp:lastModifiedBy>
  <cp:lastPrinted>2023-10-17T07:32:00Z</cp:lastPrinted>
  <dcterms:modified xsi:type="dcterms:W3CDTF">2023-10-17T09:31:33Z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2052-11.1.0.14305</vt:lpwstr>
  </property>
  <property fmtid="{D5CDD505-2E9C-101B-9397-08002B2CF9AE}" pid="3" name="ICV">
    <vt:lpwstr>8E6ADC1977734D56B5B2BF8FE1A192E3_12</vt:lpwstr>
  </property>
</Properties>
</file>