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156" w:afterLines="50"/>
        <w:rPr>
          <w:rFonts w:ascii="黑体" w:hAnsi="黑体" w:eastAsia="黑体"/>
          <w:sz w:val="32"/>
          <w:szCs w:val="32"/>
          <w:lang w:eastAsia="zh-CN"/>
        </w:rPr>
      </w:pPr>
      <w:r>
        <w:rPr>
          <w:rFonts w:hint="eastAsia" w:ascii="黑体" w:hAnsi="黑体" w:eastAsia="黑体"/>
          <w:sz w:val="32"/>
          <w:szCs w:val="32"/>
          <w:lang w:eastAsia="zh-CN"/>
        </w:rPr>
        <w:t>附件</w:t>
      </w:r>
      <w:r>
        <w:rPr>
          <w:rFonts w:ascii="黑体" w:hAnsi="黑体" w:eastAsia="黑体"/>
          <w:sz w:val="32"/>
          <w:szCs w:val="32"/>
          <w:lang w:eastAsia="zh-CN"/>
        </w:rPr>
        <w:t>2</w:t>
      </w:r>
    </w:p>
    <w:p>
      <w:pPr>
        <w:pStyle w:val="7"/>
        <w:spacing w:line="560" w:lineRule="exact"/>
        <w:jc w:val="center"/>
        <w:rPr>
          <w:rFonts w:ascii="方正小标宋简体" w:hAnsi="黑体" w:eastAsia="方正小标宋简体"/>
          <w:sz w:val="44"/>
          <w:szCs w:val="44"/>
          <w:lang w:eastAsia="zh-CN"/>
        </w:rPr>
      </w:pPr>
      <w:r>
        <w:rPr>
          <w:rFonts w:hint="eastAsia" w:ascii="方正小标宋简体" w:hAnsi="黑体" w:eastAsia="方正小标宋简体"/>
          <w:sz w:val="44"/>
          <w:szCs w:val="44"/>
          <w:lang w:eastAsia="zh-CN"/>
        </w:rPr>
        <w:t>常州工程职业技术学院教师竞赛级别</w:t>
      </w:r>
    </w:p>
    <w:p>
      <w:pPr>
        <w:pStyle w:val="7"/>
        <w:spacing w:after="156" w:afterLines="50" w:line="560" w:lineRule="exact"/>
        <w:jc w:val="center"/>
        <w:rPr>
          <w:rFonts w:ascii="方正小标宋简体" w:hAnsi="黑体" w:eastAsia="方正小标宋简体"/>
          <w:sz w:val="44"/>
          <w:szCs w:val="44"/>
          <w:lang w:eastAsia="zh-CN"/>
        </w:rPr>
      </w:pPr>
      <w:r>
        <w:rPr>
          <w:rFonts w:hint="eastAsia" w:ascii="方正小标宋简体" w:hAnsi="黑体" w:eastAsia="方正小标宋简体"/>
          <w:sz w:val="44"/>
          <w:szCs w:val="44"/>
          <w:lang w:eastAsia="zh-CN"/>
        </w:rPr>
        <w:t>认定公示表（</w:t>
      </w:r>
      <w:r>
        <w:rPr>
          <w:rFonts w:ascii="方正小标宋简体" w:hAnsi="黑体" w:eastAsia="PMingLiU"/>
          <w:sz w:val="44"/>
          <w:szCs w:val="44"/>
        </w:rPr>
        <w:t xml:space="preserve">2024 </w:t>
      </w:r>
      <w:r>
        <w:rPr>
          <w:rFonts w:hint="eastAsia" w:ascii="方正小标宋简体" w:hAnsi="黑体" w:eastAsia="方正小标宋简体"/>
          <w:sz w:val="44"/>
          <w:szCs w:val="44"/>
          <w:lang w:eastAsia="zh-CN"/>
        </w:rPr>
        <w:t>年）</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225"/>
        <w:gridCol w:w="1496"/>
        <w:gridCol w:w="3265"/>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序号</w:t>
            </w:r>
          </w:p>
        </w:tc>
        <w:tc>
          <w:tcPr>
            <w:tcW w:w="2225"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赛</w:t>
            </w:r>
            <w:r>
              <w:rPr>
                <w:rFonts w:hint="eastAsia" w:ascii="宋体" w:hAnsi="宋体" w:eastAsia="宋体" w:cs="宋体"/>
                <w:sz w:val="21"/>
                <w:szCs w:val="21"/>
                <w:lang w:eastAsia="zh-CN" w:bidi="ar-SA"/>
              </w:rPr>
              <w:t>事</w:t>
            </w:r>
            <w:r>
              <w:rPr>
                <w:rFonts w:ascii="宋体" w:hAnsi="宋体" w:eastAsia="宋体" w:cs="宋体"/>
                <w:sz w:val="21"/>
                <w:szCs w:val="21"/>
                <w:lang w:eastAsia="zh-CN" w:bidi="ar-SA"/>
              </w:rPr>
              <w:t>名称</w:t>
            </w:r>
          </w:p>
        </w:tc>
        <w:tc>
          <w:tcPr>
            <w:tcW w:w="1496"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主办单位</w:t>
            </w:r>
          </w:p>
        </w:tc>
        <w:tc>
          <w:tcPr>
            <w:tcW w:w="3265"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赛事简介</w:t>
            </w:r>
          </w:p>
        </w:tc>
        <w:tc>
          <w:tcPr>
            <w:tcW w:w="1601"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1</w:t>
            </w:r>
          </w:p>
        </w:tc>
        <w:tc>
          <w:tcPr>
            <w:tcW w:w="2225" w:type="dxa"/>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化学实验技术赛项</w:t>
            </w:r>
          </w:p>
        </w:tc>
        <w:tc>
          <w:tcPr>
            <w:tcW w:w="1496" w:type="dxa"/>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江苏省教育厅</w:t>
            </w:r>
          </w:p>
        </w:tc>
        <w:tc>
          <w:tcPr>
            <w:tcW w:w="3265" w:type="dxa"/>
            <w:shd w:val="clear" w:color="auto" w:fill="auto"/>
            <w:vAlign w:val="center"/>
          </w:tcPr>
          <w:p>
            <w:pPr>
              <w:widowControl/>
              <w:rPr>
                <w:rFonts w:ascii="宋体" w:hAnsi="宋体" w:eastAsia="宋体" w:cs="宋体"/>
                <w:color w:val="000000"/>
                <w:kern w:val="0"/>
                <w:sz w:val="21"/>
                <w:szCs w:val="21"/>
                <w:lang w:val="en-US" w:eastAsia="zh-CN" w:bidi="ar-SA"/>
              </w:rPr>
            </w:pPr>
            <w:r>
              <w:rPr>
                <w:rFonts w:hint="eastAsia" w:ascii="宋体" w:hAnsi="宋体" w:eastAsia="宋体" w:cs="宋体"/>
                <w:sz w:val="21"/>
                <w:szCs w:val="21"/>
                <w:lang w:eastAsia="zh-CN" w:bidi="ar-SA"/>
              </w:rPr>
              <w:t>本赛项以检验教学成果、体现世界技能大赛及QHSE理念、促进职业教育高质量发展为指导思想，通过竞赛营造崇尚技能的社会氛围，培育选手的工匠精神，实现教学内容与职业的标准对接，促进选手化学实验技术能力的提升，引领职业院校专业建设与课程改革。本赛项考查选手的物质制备和分析等基本理论知识、执行国家及行业标准规范的能力、科学的实验工作方法和实验技巧、实事求是的科学态度、严谨细致的工作作风、沟通及人际交往能力、清洁整齐的良好工作习惯和职业健康、安全、环保意识等。</w:t>
            </w:r>
          </w:p>
        </w:tc>
        <w:tc>
          <w:tcPr>
            <w:tcW w:w="1601" w:type="dxa"/>
            <w:shd w:val="clear" w:color="auto" w:fill="auto"/>
            <w:vAlign w:val="center"/>
          </w:tcPr>
          <w:p>
            <w:pPr>
              <w:widowControl/>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bidi="ar-SA"/>
              </w:rPr>
              <w:t>Ⅱ级甲等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2</w:t>
            </w:r>
          </w:p>
        </w:tc>
        <w:tc>
          <w:tcPr>
            <w:tcW w:w="222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食品安全与质量检测（</w:t>
            </w:r>
            <w:r>
              <w:rPr>
                <w:rFonts w:ascii="宋体" w:hAnsi="宋体" w:eastAsia="宋体" w:cs="宋体"/>
                <w:sz w:val="21"/>
                <w:szCs w:val="21"/>
                <w:lang w:eastAsia="zh-CN" w:bidi="ar-SA"/>
              </w:rPr>
              <w:t>GZ025</w:t>
            </w:r>
            <w:r>
              <w:rPr>
                <w:rFonts w:hint="eastAsia" w:ascii="宋体" w:hAnsi="宋体" w:eastAsia="宋体" w:cs="宋体"/>
                <w:sz w:val="21"/>
                <w:szCs w:val="21"/>
                <w:lang w:eastAsia="zh-CN" w:bidi="ar-SA"/>
              </w:rPr>
              <w:t>）</w:t>
            </w:r>
          </w:p>
          <w:p>
            <w:pPr>
              <w:widowControl/>
              <w:rPr>
                <w:rFonts w:ascii="宋体" w:hAnsi="宋体" w:eastAsia="宋体" w:cs="宋体"/>
                <w:color w:val="000000"/>
                <w:kern w:val="0"/>
                <w:sz w:val="21"/>
                <w:szCs w:val="21"/>
                <w:lang w:val="en-US" w:eastAsia="zh-CN" w:bidi="ar-SA"/>
              </w:rPr>
            </w:pPr>
          </w:p>
        </w:tc>
        <w:tc>
          <w:tcPr>
            <w:tcW w:w="1496" w:type="dxa"/>
            <w:shd w:val="clear" w:color="auto" w:fill="auto"/>
            <w:vAlign w:val="center"/>
          </w:tcPr>
          <w:p>
            <w:pPr>
              <w:widowControl/>
              <w:rPr>
                <w:rFonts w:ascii="宋体" w:hAnsi="宋体" w:eastAsia="宋体" w:cs="宋体"/>
                <w:color w:val="000000"/>
                <w:kern w:val="0"/>
                <w:sz w:val="21"/>
                <w:szCs w:val="21"/>
                <w:lang w:val="en-US" w:eastAsia="zh-CN" w:bidi="ar-SA"/>
              </w:rPr>
            </w:pPr>
            <w:r>
              <w:rPr>
                <w:rFonts w:hint="eastAsia" w:ascii="宋体" w:hAnsi="宋体" w:eastAsia="宋体" w:cs="宋体"/>
                <w:sz w:val="21"/>
                <w:szCs w:val="21"/>
                <w:lang w:eastAsia="zh-CN" w:bidi="ar-SA"/>
              </w:rPr>
              <w:t>教育部</w:t>
            </w:r>
            <w:r>
              <w:rPr>
                <w:rFonts w:ascii="宋体" w:hAnsi="宋体" w:eastAsia="宋体" w:cs="宋体"/>
                <w:sz w:val="21"/>
                <w:szCs w:val="21"/>
                <w:lang w:eastAsia="zh-CN" w:bidi="ar-SA"/>
              </w:rPr>
              <w:t>/</w:t>
            </w:r>
            <w:r>
              <w:rPr>
                <w:rFonts w:hint="eastAsia" w:ascii="宋体" w:hAnsi="宋体" w:eastAsia="宋体" w:cs="宋体"/>
                <w:sz w:val="21"/>
                <w:szCs w:val="21"/>
                <w:lang w:eastAsia="zh-CN" w:bidi="ar-SA"/>
              </w:rPr>
              <w:t>江苏省教育厅</w:t>
            </w:r>
            <w:r>
              <w:rPr>
                <w:rFonts w:ascii="宋体" w:hAnsi="宋体" w:eastAsia="宋体" w:cs="宋体"/>
                <w:sz w:val="21"/>
                <w:szCs w:val="21"/>
                <w:lang w:eastAsia="zh-CN" w:bidi="ar-SA"/>
              </w:rPr>
              <w:t>/</w:t>
            </w:r>
            <w:r>
              <w:rPr>
                <w:rFonts w:hint="eastAsia" w:ascii="宋体" w:hAnsi="宋体" w:eastAsia="宋体" w:cs="宋体"/>
                <w:sz w:val="21"/>
                <w:szCs w:val="21"/>
                <w:lang w:eastAsia="zh-CN" w:bidi="ar-SA"/>
              </w:rPr>
              <w:t>江苏省职业院校技能大赛组委会</w:t>
            </w:r>
          </w:p>
        </w:tc>
        <w:tc>
          <w:tcPr>
            <w:tcW w:w="3265" w:type="dxa"/>
            <w:shd w:val="clear" w:color="auto" w:fill="auto"/>
            <w:vAlign w:val="center"/>
          </w:tcPr>
          <w:p>
            <w:pPr>
              <w:widowControl/>
              <w:rPr>
                <w:rFonts w:ascii="宋体" w:hAnsi="宋体" w:eastAsia="宋体" w:cs="宋体"/>
                <w:color w:val="000000"/>
                <w:kern w:val="0"/>
                <w:sz w:val="21"/>
                <w:szCs w:val="21"/>
                <w:lang w:val="en-US" w:eastAsia="zh-CN" w:bidi="ar-SA"/>
              </w:rPr>
            </w:pPr>
            <w:r>
              <w:rPr>
                <w:rFonts w:hint="eastAsia" w:ascii="宋体" w:hAnsi="宋体" w:eastAsia="宋体" w:cs="宋体"/>
                <w:sz w:val="21"/>
                <w:szCs w:val="21"/>
                <w:lang w:eastAsia="zh-CN" w:bidi="ar-SA"/>
              </w:rPr>
              <w:t>该赛项是全国职业院校技能大赛赛项（</w:t>
            </w:r>
            <w:r>
              <w:rPr>
                <w:rFonts w:ascii="宋体" w:hAnsi="宋体" w:eastAsia="宋体" w:cs="宋体"/>
                <w:sz w:val="21"/>
                <w:szCs w:val="21"/>
                <w:lang w:eastAsia="zh-CN" w:bidi="ar-SA"/>
              </w:rPr>
              <w:t>GZ025</w:t>
            </w:r>
            <w:r>
              <w:rPr>
                <w:rFonts w:hint="eastAsia" w:ascii="宋体" w:hAnsi="宋体" w:eastAsia="宋体" w:cs="宋体"/>
                <w:sz w:val="21"/>
                <w:szCs w:val="21"/>
                <w:lang w:eastAsia="zh-CN" w:bidi="ar-SA"/>
              </w:rPr>
              <w:t>），主要对接国家“十四五”规划——“食品安全战略和食品药品安全重大民生工程”。赛项设置上对接产业前沿技术，引入行业标准，通过考察参赛选手在食品安全与质量检测领域所涉及的食品安全管理知识、食品微生物检验和理化分析技能等多方面知识和技能。</w:t>
            </w:r>
          </w:p>
        </w:tc>
        <w:tc>
          <w:tcPr>
            <w:tcW w:w="1601" w:type="dxa"/>
            <w:shd w:val="clear" w:color="auto" w:fill="auto"/>
            <w:vAlign w:val="center"/>
          </w:tcPr>
          <w:p>
            <w:pPr>
              <w:widowControl/>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sz w:val="21"/>
                <w:szCs w:val="21"/>
                <w:lang w:eastAsia="zh-CN" w:bidi="ar-SA"/>
              </w:rPr>
              <w:t>Ⅱ</w:t>
            </w:r>
            <w:r>
              <w:rPr>
                <w:rFonts w:ascii="宋体" w:hAnsi="宋体" w:eastAsia="宋体" w:cs="宋体"/>
                <w:sz w:val="21"/>
                <w:szCs w:val="21"/>
                <w:lang w:eastAsia="zh-CN" w:bidi="ar-SA"/>
              </w:rPr>
              <w:t xml:space="preserve"> </w:t>
            </w:r>
            <w:r>
              <w:rPr>
                <w:rFonts w:hint="eastAsia" w:ascii="宋体" w:hAnsi="宋体" w:eastAsia="宋体" w:cs="宋体"/>
                <w:sz w:val="21"/>
                <w:szCs w:val="21"/>
                <w:lang w:eastAsia="zh-CN" w:bidi="ar-SA"/>
              </w:rPr>
              <w:t>级甲等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3</w:t>
            </w:r>
          </w:p>
        </w:tc>
        <w:tc>
          <w:tcPr>
            <w:tcW w:w="2225" w:type="dxa"/>
            <w:shd w:val="clear" w:color="auto" w:fill="auto"/>
            <w:vAlign w:val="center"/>
          </w:tcPr>
          <w:p>
            <w:pPr>
              <w:widowControl/>
              <w:rPr>
                <w:rFonts w:ascii="宋体" w:hAnsi="宋体" w:eastAsia="宋体" w:cs="宋体"/>
                <w:color w:val="000000"/>
                <w:kern w:val="0"/>
                <w:sz w:val="21"/>
                <w:szCs w:val="21"/>
                <w:lang w:val="en-US" w:eastAsia="zh-CN" w:bidi="ar-SA"/>
              </w:rPr>
            </w:pPr>
          </w:p>
        </w:tc>
        <w:tc>
          <w:tcPr>
            <w:tcW w:w="1496" w:type="dxa"/>
            <w:shd w:val="clear" w:color="auto" w:fill="auto"/>
            <w:vAlign w:val="center"/>
          </w:tcPr>
          <w:p>
            <w:pPr>
              <w:widowControl/>
              <w:rPr>
                <w:rFonts w:ascii="宋体" w:hAnsi="宋体" w:eastAsia="宋体" w:cs="宋体"/>
                <w:color w:val="000000"/>
                <w:kern w:val="0"/>
                <w:sz w:val="21"/>
                <w:szCs w:val="21"/>
                <w:lang w:val="en-US" w:eastAsia="zh-CN" w:bidi="ar-SA"/>
              </w:rPr>
            </w:pPr>
          </w:p>
        </w:tc>
        <w:tc>
          <w:tcPr>
            <w:tcW w:w="3265" w:type="dxa"/>
            <w:shd w:val="clear" w:color="auto" w:fill="auto"/>
            <w:vAlign w:val="center"/>
          </w:tcPr>
          <w:p>
            <w:pPr>
              <w:widowControl/>
              <w:rPr>
                <w:rFonts w:ascii="宋体" w:hAnsi="宋体" w:eastAsia="宋体" w:cs="宋体"/>
                <w:color w:val="000000"/>
                <w:kern w:val="0"/>
                <w:sz w:val="21"/>
                <w:szCs w:val="21"/>
                <w:lang w:val="en-US" w:eastAsia="zh-CN" w:bidi="ar-SA"/>
              </w:rPr>
            </w:pPr>
          </w:p>
        </w:tc>
        <w:tc>
          <w:tcPr>
            <w:tcW w:w="1601" w:type="dxa"/>
            <w:shd w:val="clear" w:color="auto" w:fill="auto"/>
            <w:vAlign w:val="center"/>
          </w:tcPr>
          <w:p>
            <w:pPr>
              <w:widowControl/>
              <w:jc w:val="center"/>
              <w:rPr>
                <w:rFonts w:ascii="宋体" w:hAnsi="宋体" w:eastAsia="宋体" w:cs="宋体"/>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4</w:t>
            </w:r>
          </w:p>
        </w:tc>
        <w:tc>
          <w:tcPr>
            <w:tcW w:w="2225" w:type="dxa"/>
            <w:shd w:val="clear" w:color="auto" w:fill="auto"/>
            <w:vAlign w:val="center"/>
          </w:tcPr>
          <w:p>
            <w:pPr>
              <w:widowControl/>
              <w:rPr>
                <w:rFonts w:ascii="宋体" w:hAnsi="宋体" w:eastAsia="宋体" w:cs="宋体"/>
                <w:sz w:val="21"/>
                <w:szCs w:val="21"/>
                <w:lang w:eastAsia="zh-CN" w:bidi="ar-SA"/>
              </w:rPr>
            </w:pPr>
          </w:p>
        </w:tc>
        <w:tc>
          <w:tcPr>
            <w:tcW w:w="1496" w:type="dxa"/>
            <w:shd w:val="clear" w:color="auto" w:fill="auto"/>
            <w:vAlign w:val="center"/>
          </w:tcPr>
          <w:p>
            <w:pPr>
              <w:widowControl/>
              <w:rPr>
                <w:rFonts w:ascii="宋体" w:hAnsi="宋体" w:eastAsia="宋体" w:cs="宋体"/>
                <w:sz w:val="21"/>
                <w:szCs w:val="21"/>
                <w:lang w:eastAsia="zh-CN" w:bidi="ar-SA"/>
              </w:rPr>
            </w:pPr>
          </w:p>
        </w:tc>
        <w:tc>
          <w:tcPr>
            <w:tcW w:w="3265" w:type="dxa"/>
            <w:shd w:val="clear" w:color="auto" w:fill="auto"/>
            <w:vAlign w:val="center"/>
          </w:tcPr>
          <w:p>
            <w:pPr>
              <w:widowControl/>
              <w:rPr>
                <w:rFonts w:ascii="宋体" w:hAnsi="宋体" w:eastAsia="宋体" w:cs="宋体"/>
                <w:sz w:val="21"/>
                <w:szCs w:val="21"/>
                <w:lang w:eastAsia="zh-CN" w:bidi="ar-SA"/>
              </w:rPr>
            </w:pPr>
          </w:p>
        </w:tc>
        <w:tc>
          <w:tcPr>
            <w:tcW w:w="1601" w:type="dxa"/>
            <w:shd w:val="clear" w:color="auto" w:fill="auto"/>
            <w:vAlign w:val="center"/>
          </w:tcPr>
          <w:p>
            <w:pPr>
              <w:widowControl/>
              <w:jc w:val="center"/>
              <w:rPr>
                <w:rFonts w:ascii="宋体" w:hAns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5</w:t>
            </w:r>
          </w:p>
        </w:tc>
        <w:tc>
          <w:tcPr>
            <w:tcW w:w="2225" w:type="dxa"/>
            <w:shd w:val="clear" w:color="auto" w:fill="auto"/>
            <w:vAlign w:val="center"/>
          </w:tcPr>
          <w:p>
            <w:pPr>
              <w:widowControl/>
              <w:jc w:val="center"/>
              <w:rPr>
                <w:rFonts w:ascii="宋体" w:hAnsi="宋体" w:eastAsia="宋体" w:cs="宋体"/>
                <w:sz w:val="21"/>
                <w:szCs w:val="21"/>
                <w:lang w:eastAsia="zh-CN" w:bidi="ar-SA"/>
              </w:rPr>
            </w:pPr>
          </w:p>
        </w:tc>
        <w:tc>
          <w:tcPr>
            <w:tcW w:w="1496" w:type="dxa"/>
            <w:shd w:val="clear" w:color="auto" w:fill="auto"/>
            <w:vAlign w:val="center"/>
          </w:tcPr>
          <w:p>
            <w:pPr>
              <w:widowControl/>
              <w:rPr>
                <w:rFonts w:ascii="宋体" w:hAnsi="宋体" w:eastAsia="宋体" w:cs="宋体"/>
                <w:sz w:val="21"/>
                <w:szCs w:val="21"/>
                <w:lang w:eastAsia="zh-CN" w:bidi="ar-SA"/>
              </w:rPr>
            </w:pPr>
          </w:p>
        </w:tc>
        <w:tc>
          <w:tcPr>
            <w:tcW w:w="3265" w:type="dxa"/>
            <w:shd w:val="clear" w:color="auto" w:fill="auto"/>
            <w:vAlign w:val="center"/>
          </w:tcPr>
          <w:p>
            <w:pPr>
              <w:widowControl/>
              <w:rPr>
                <w:rFonts w:ascii="宋体" w:hAnsi="宋体" w:eastAsia="宋体" w:cs="宋体"/>
                <w:sz w:val="21"/>
                <w:szCs w:val="21"/>
                <w:lang w:eastAsia="zh-CN" w:bidi="ar-SA"/>
              </w:rPr>
            </w:pPr>
          </w:p>
        </w:tc>
        <w:tc>
          <w:tcPr>
            <w:tcW w:w="1601" w:type="dxa"/>
            <w:shd w:val="clear" w:color="auto" w:fill="auto"/>
            <w:vAlign w:val="center"/>
          </w:tcPr>
          <w:p>
            <w:pPr>
              <w:widowControl/>
              <w:jc w:val="center"/>
              <w:rPr>
                <w:rFonts w:ascii="宋体" w:hAns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6</w:t>
            </w:r>
          </w:p>
        </w:tc>
        <w:tc>
          <w:tcPr>
            <w:tcW w:w="2225" w:type="dxa"/>
            <w:shd w:val="clear" w:color="auto" w:fill="auto"/>
            <w:vAlign w:val="center"/>
          </w:tcPr>
          <w:p>
            <w:pPr>
              <w:widowControl/>
              <w:rPr>
                <w:rFonts w:ascii="宋体" w:hAnsi="宋体" w:eastAsia="宋体" w:cs="宋体"/>
                <w:sz w:val="21"/>
                <w:szCs w:val="21"/>
                <w:lang w:eastAsia="zh-CN" w:bidi="ar-SA"/>
              </w:rPr>
            </w:pPr>
          </w:p>
        </w:tc>
        <w:tc>
          <w:tcPr>
            <w:tcW w:w="1496" w:type="dxa"/>
            <w:shd w:val="clear" w:color="auto" w:fill="auto"/>
            <w:vAlign w:val="center"/>
          </w:tcPr>
          <w:p>
            <w:pPr>
              <w:widowControl/>
              <w:rPr>
                <w:rFonts w:ascii="宋体" w:hAnsi="宋体" w:eastAsia="宋体" w:cs="宋体"/>
                <w:sz w:val="21"/>
                <w:szCs w:val="21"/>
                <w:lang w:eastAsia="zh-CN" w:bidi="ar-SA"/>
              </w:rPr>
            </w:pPr>
          </w:p>
        </w:tc>
        <w:tc>
          <w:tcPr>
            <w:tcW w:w="3265" w:type="dxa"/>
            <w:shd w:val="clear" w:color="auto" w:fill="auto"/>
            <w:vAlign w:val="center"/>
          </w:tcPr>
          <w:p>
            <w:pPr>
              <w:widowControl/>
              <w:rPr>
                <w:rFonts w:ascii="宋体" w:hAnsi="宋体" w:eastAsia="宋体" w:cs="宋体"/>
                <w:sz w:val="21"/>
                <w:szCs w:val="21"/>
                <w:lang w:eastAsia="zh-CN" w:bidi="ar-SA"/>
              </w:rPr>
            </w:pPr>
          </w:p>
        </w:tc>
        <w:tc>
          <w:tcPr>
            <w:tcW w:w="1601" w:type="dxa"/>
            <w:shd w:val="clear" w:color="auto" w:fill="auto"/>
            <w:vAlign w:val="center"/>
          </w:tcPr>
          <w:p>
            <w:pPr>
              <w:widowControl/>
              <w:jc w:val="center"/>
              <w:rPr>
                <w:rFonts w:ascii="宋体" w:hAns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7</w:t>
            </w:r>
          </w:p>
        </w:tc>
        <w:tc>
          <w:tcPr>
            <w:tcW w:w="2225" w:type="dxa"/>
            <w:shd w:val="clear" w:color="auto" w:fill="auto"/>
            <w:vAlign w:val="center"/>
          </w:tcPr>
          <w:p>
            <w:pPr>
              <w:widowControl/>
              <w:rPr>
                <w:rFonts w:ascii="宋体" w:hAnsi="宋体" w:eastAsia="宋体" w:cs="宋体"/>
                <w:sz w:val="21"/>
                <w:szCs w:val="21"/>
                <w:lang w:eastAsia="zh-CN" w:bidi="ar-SA"/>
              </w:rPr>
            </w:pPr>
          </w:p>
        </w:tc>
        <w:tc>
          <w:tcPr>
            <w:tcW w:w="1496" w:type="dxa"/>
            <w:shd w:val="clear" w:color="auto" w:fill="auto"/>
            <w:vAlign w:val="center"/>
          </w:tcPr>
          <w:p>
            <w:pPr>
              <w:widowControl/>
              <w:rPr>
                <w:rFonts w:ascii="宋体" w:hAnsi="宋体" w:eastAsia="宋体" w:cs="宋体"/>
                <w:sz w:val="21"/>
                <w:szCs w:val="21"/>
                <w:lang w:eastAsia="zh-CN" w:bidi="ar-SA"/>
              </w:rPr>
            </w:pPr>
          </w:p>
        </w:tc>
        <w:tc>
          <w:tcPr>
            <w:tcW w:w="3265" w:type="dxa"/>
            <w:shd w:val="clear" w:color="auto" w:fill="auto"/>
            <w:vAlign w:val="center"/>
          </w:tcPr>
          <w:p>
            <w:pPr>
              <w:widowControl/>
              <w:rPr>
                <w:rFonts w:ascii="宋体" w:hAnsi="宋体" w:eastAsia="宋体" w:cs="宋体"/>
                <w:sz w:val="21"/>
                <w:szCs w:val="21"/>
                <w:lang w:eastAsia="zh-CN" w:bidi="ar-SA"/>
              </w:rPr>
            </w:pPr>
          </w:p>
        </w:tc>
        <w:tc>
          <w:tcPr>
            <w:tcW w:w="1601" w:type="dxa"/>
            <w:shd w:val="clear" w:color="auto" w:fill="auto"/>
            <w:vAlign w:val="center"/>
          </w:tcPr>
          <w:p>
            <w:pPr>
              <w:widowControl/>
              <w:jc w:val="center"/>
              <w:rPr>
                <w:rFonts w:ascii="宋体" w:hAns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8</w:t>
            </w:r>
          </w:p>
        </w:tc>
        <w:tc>
          <w:tcPr>
            <w:tcW w:w="2225" w:type="dxa"/>
            <w:shd w:val="clear" w:color="auto" w:fill="auto"/>
            <w:vAlign w:val="center"/>
          </w:tcPr>
          <w:p>
            <w:pPr>
              <w:widowControl/>
              <w:rPr>
                <w:rFonts w:ascii="宋体" w:hAnsi="宋体" w:eastAsia="宋体" w:cs="宋体"/>
                <w:sz w:val="21"/>
                <w:szCs w:val="21"/>
                <w:lang w:eastAsia="zh-CN" w:bidi="ar-SA"/>
              </w:rPr>
            </w:pPr>
          </w:p>
        </w:tc>
        <w:tc>
          <w:tcPr>
            <w:tcW w:w="1496" w:type="dxa"/>
            <w:shd w:val="clear" w:color="auto" w:fill="auto"/>
            <w:vAlign w:val="center"/>
          </w:tcPr>
          <w:p>
            <w:pPr>
              <w:widowControl/>
              <w:rPr>
                <w:rFonts w:ascii="宋体" w:hAnsi="宋体" w:eastAsia="宋体" w:cs="宋体"/>
                <w:sz w:val="21"/>
                <w:szCs w:val="21"/>
                <w:lang w:eastAsia="zh-CN" w:bidi="ar-SA"/>
              </w:rPr>
            </w:pPr>
          </w:p>
        </w:tc>
        <w:tc>
          <w:tcPr>
            <w:tcW w:w="3265" w:type="dxa"/>
            <w:shd w:val="clear" w:color="auto" w:fill="auto"/>
            <w:vAlign w:val="center"/>
          </w:tcPr>
          <w:p>
            <w:pPr>
              <w:widowControl/>
              <w:rPr>
                <w:rFonts w:ascii="宋体" w:hAnsi="宋体" w:eastAsia="宋体" w:cs="宋体"/>
                <w:sz w:val="21"/>
                <w:szCs w:val="21"/>
                <w:lang w:eastAsia="zh-CN" w:bidi="ar-SA"/>
              </w:rPr>
            </w:pPr>
          </w:p>
        </w:tc>
        <w:tc>
          <w:tcPr>
            <w:tcW w:w="1601" w:type="dxa"/>
            <w:shd w:val="clear" w:color="auto" w:fill="auto"/>
            <w:vAlign w:val="center"/>
          </w:tcPr>
          <w:p>
            <w:pPr>
              <w:widowControl/>
              <w:jc w:val="center"/>
              <w:rPr>
                <w:rFonts w:ascii="宋体" w:hAnsi="宋体" w:eastAsia="宋体" w:cs="宋体"/>
                <w:sz w:val="21"/>
                <w:szCs w:val="21"/>
                <w:lang w:eastAsia="zh-CN" w:bidi="ar-SA"/>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B5932B-5605-4E8E-83AE-852E9FC8AA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D030F54-3BB8-4613-BED3-265BE7C95F1A}"/>
  </w:font>
  <w:font w:name="方正小标宋简体">
    <w:panose1 w:val="02000000000000000000"/>
    <w:charset w:val="86"/>
    <w:family w:val="script"/>
    <w:pitch w:val="default"/>
    <w:sig w:usb0="00000001" w:usb1="08000000" w:usb2="00000000" w:usb3="00000000" w:csb0="00040000" w:csb1="00000000"/>
    <w:embedRegular r:id="rId3" w:fontKey="{C28C0076-4822-4EE8-9C9E-18CF01AFC032}"/>
  </w:font>
  <w:font w:name="PMingLiU">
    <w:altName w:val="Microsoft JhengHei UI"/>
    <w:panose1 w:val="02010601000101010101"/>
    <w:charset w:val="88"/>
    <w:family w:val="roman"/>
    <w:pitch w:val="default"/>
    <w:sig w:usb0="00000000" w:usb1="00000000" w:usb2="00000016" w:usb3="00000000" w:csb0="00100001" w:csb1="00000000"/>
    <w:embedRegular r:id="rId4" w:fontKey="{4416E492-8832-4AD4-8839-4A0FCE82522E}"/>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zMWM0MjAyYzhkNjE5ZmY2OWE3NGI0ZGVjMjA2ZDIifQ=="/>
  </w:docVars>
  <w:rsids>
    <w:rsidRoot w:val="0034500A"/>
    <w:rsid w:val="00073706"/>
    <w:rsid w:val="000C4956"/>
    <w:rsid w:val="002105F8"/>
    <w:rsid w:val="0034500A"/>
    <w:rsid w:val="00E72702"/>
    <w:rsid w:val="00EE58F8"/>
    <w:rsid w:val="00EE6E46"/>
    <w:rsid w:val="00F96431"/>
    <w:rsid w:val="31997FD4"/>
    <w:rsid w:val="5F77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character" w:customStyle="1" w:styleId="6">
    <w:name w:val="Table caption|1_"/>
    <w:basedOn w:val="5"/>
    <w:link w:val="7"/>
    <w:qFormat/>
    <w:uiPriority w:val="0"/>
    <w:rPr>
      <w:rFonts w:ascii="宋体" w:hAnsi="宋体" w:eastAsia="宋体" w:cs="宋体"/>
      <w:sz w:val="26"/>
      <w:szCs w:val="26"/>
      <w:lang w:val="zh-TW" w:eastAsia="zh-TW" w:bidi="zh-TW"/>
    </w:rPr>
  </w:style>
  <w:style w:type="paragraph" w:customStyle="1" w:styleId="7">
    <w:name w:val="Table caption|1"/>
    <w:basedOn w:val="1"/>
    <w:link w:val="6"/>
    <w:qFormat/>
    <w:uiPriority w:val="0"/>
    <w:rPr>
      <w:rFonts w:ascii="宋体" w:hAnsi="宋体" w:eastAsia="宋体" w:cs="宋体"/>
      <w:color w:val="auto"/>
      <w:kern w:val="2"/>
      <w:sz w:val="26"/>
      <w:szCs w:val="26"/>
      <w:lang w:val="zh-TW" w:eastAsia="zh-TW" w:bidi="zh-TW"/>
    </w:rPr>
  </w:style>
  <w:style w:type="character" w:customStyle="1" w:styleId="8">
    <w:name w:val="页眉 字符"/>
    <w:basedOn w:val="5"/>
    <w:link w:val="3"/>
    <w:qFormat/>
    <w:uiPriority w:val="99"/>
    <w:rPr>
      <w:rFonts w:ascii="Times New Roman" w:hAnsi="Times New Roman" w:eastAsia="Times New Roman" w:cs="Times New Roman"/>
      <w:color w:val="000000"/>
      <w:kern w:val="0"/>
      <w:sz w:val="18"/>
      <w:szCs w:val="18"/>
      <w:lang w:eastAsia="en-US" w:bidi="en-US"/>
    </w:rPr>
  </w:style>
  <w:style w:type="character" w:customStyle="1" w:styleId="9">
    <w:name w:val="页脚 字符"/>
    <w:basedOn w:val="5"/>
    <w:link w:val="2"/>
    <w:qFormat/>
    <w:uiPriority w:val="99"/>
    <w:rPr>
      <w:rFonts w:ascii="Times New Roman" w:hAnsi="Times New Roman" w:eastAsia="Times New Roman" w:cs="Times New Roman"/>
      <w:color w:val="000000"/>
      <w:kern w:val="0"/>
      <w:sz w:val="18"/>
      <w:szCs w:val="18"/>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238</Words>
  <Characters>256</Characters>
  <Lines>2</Lines>
  <Paragraphs>1</Paragraphs>
  <TotalTime>0</TotalTime>
  <ScaleCrop>false</ScaleCrop>
  <LinksUpToDate>false</LinksUpToDate>
  <CharactersWithSpaces>258</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2020-09-21T09:39:00Z</dcterms:created>
  <dc:creator>YSP</dc:creator>
  <cp:lastModifiedBy>A5～Ｍy</cp:lastModifiedBy>
  <dcterms:modified xsi:type="dcterms:W3CDTF">2023-10-17T09:30:38Z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3710C0C27087466D879D1B57CC8E3277_12</vt:lpwstr>
  </property>
</Properties>
</file>